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8F2" w:rsidRPr="00666277" w:rsidRDefault="002A78F2" w:rsidP="000E459A">
      <w:pPr>
        <w:pBdr>
          <w:bottom w:val="single" w:sz="4" w:space="1" w:color="auto"/>
        </w:pBdr>
        <w:spacing w:before="120" w:after="120"/>
        <w:jc w:val="center"/>
        <w:rPr>
          <w:b/>
          <w:i/>
          <w:color w:val="4D8580"/>
          <w:sz w:val="24"/>
          <w:szCs w:val="24"/>
        </w:rPr>
      </w:pPr>
      <w:r w:rsidRPr="00666277">
        <w:rPr>
          <w:b/>
          <w:color w:val="4D8580"/>
          <w:sz w:val="24"/>
          <w:szCs w:val="24"/>
        </w:rPr>
        <w:t xml:space="preserve">Summary of </w:t>
      </w:r>
      <w:r w:rsidR="00CD663C" w:rsidRPr="00666277">
        <w:rPr>
          <w:b/>
          <w:color w:val="4D8580"/>
          <w:sz w:val="24"/>
          <w:szCs w:val="24"/>
        </w:rPr>
        <w:t>material</w:t>
      </w:r>
      <w:r w:rsidRPr="00666277">
        <w:rPr>
          <w:b/>
          <w:color w:val="4D8580"/>
          <w:sz w:val="24"/>
          <w:szCs w:val="24"/>
        </w:rPr>
        <w:t xml:space="preserve"> changes to the </w:t>
      </w:r>
      <w:r w:rsidRPr="00666277">
        <w:rPr>
          <w:b/>
          <w:i/>
          <w:color w:val="4D8580"/>
          <w:sz w:val="24"/>
          <w:szCs w:val="24"/>
        </w:rPr>
        <w:t>Career Transition Assistance</w:t>
      </w:r>
      <w:r w:rsidR="00732573" w:rsidRPr="00666277">
        <w:rPr>
          <w:b/>
          <w:i/>
          <w:color w:val="4D8580"/>
          <w:sz w:val="24"/>
          <w:szCs w:val="24"/>
        </w:rPr>
        <w:t xml:space="preserve"> Trial</w:t>
      </w:r>
      <w:r w:rsidRPr="00666277">
        <w:rPr>
          <w:b/>
          <w:i/>
          <w:color w:val="4D8580"/>
          <w:sz w:val="24"/>
          <w:szCs w:val="24"/>
        </w:rPr>
        <w:t xml:space="preserve"> Panel Deed 201</w:t>
      </w:r>
      <w:r w:rsidR="00732573" w:rsidRPr="00666277">
        <w:rPr>
          <w:b/>
          <w:i/>
          <w:color w:val="4D8580"/>
          <w:sz w:val="24"/>
          <w:szCs w:val="24"/>
        </w:rPr>
        <w:t>8</w:t>
      </w:r>
      <w:r w:rsidRPr="00666277">
        <w:rPr>
          <w:b/>
          <w:i/>
          <w:color w:val="4D8580"/>
          <w:sz w:val="24"/>
          <w:szCs w:val="24"/>
        </w:rPr>
        <w:t>-202</w:t>
      </w:r>
      <w:r w:rsidR="00714ABC" w:rsidRPr="00666277">
        <w:rPr>
          <w:b/>
          <w:i/>
          <w:color w:val="4D8580"/>
          <w:sz w:val="24"/>
          <w:szCs w:val="24"/>
        </w:rPr>
        <w:t>2</w:t>
      </w:r>
      <w:r w:rsidR="005316AC" w:rsidRPr="00666277">
        <w:rPr>
          <w:b/>
          <w:i/>
          <w:color w:val="4D8580"/>
          <w:sz w:val="24"/>
          <w:szCs w:val="24"/>
        </w:rPr>
        <w:t xml:space="preserve"> </w:t>
      </w:r>
    </w:p>
    <w:p w:rsidR="00581473" w:rsidRPr="00A357E0" w:rsidRDefault="002A78F2" w:rsidP="00014126">
      <w:pPr>
        <w:spacing w:before="120" w:after="120"/>
        <w:ind w:firstLine="142"/>
        <w:rPr>
          <w:rFonts w:asciiTheme="minorHAnsi" w:hAnsiTheme="minorHAnsi" w:cs="Calibri"/>
          <w:b/>
          <w:i/>
        </w:rPr>
      </w:pPr>
      <w:r w:rsidRPr="00A357E0">
        <w:rPr>
          <w:rFonts w:asciiTheme="minorHAnsi" w:hAnsiTheme="minorHAnsi" w:cs="Calibri"/>
        </w:rPr>
        <w:t xml:space="preserve">The following table contains a summary of </w:t>
      </w:r>
      <w:r w:rsidRPr="00A357E0">
        <w:rPr>
          <w:rFonts w:asciiTheme="minorHAnsi" w:hAnsiTheme="minorHAnsi" w:cs="Calibri"/>
          <w:b/>
        </w:rPr>
        <w:t>material</w:t>
      </w:r>
      <w:r w:rsidRPr="00A357E0">
        <w:rPr>
          <w:rFonts w:asciiTheme="minorHAnsi" w:hAnsiTheme="minorHAnsi" w:cs="Calibri"/>
        </w:rPr>
        <w:t xml:space="preserve"> changes to the </w:t>
      </w:r>
      <w:r w:rsidRPr="00A357E0">
        <w:rPr>
          <w:rFonts w:asciiTheme="minorHAnsi" w:hAnsiTheme="minorHAnsi" w:cs="Calibri"/>
          <w:i/>
        </w:rPr>
        <w:t>Career Transition Assistance</w:t>
      </w:r>
      <w:r w:rsidR="0094234B" w:rsidRPr="00A357E0">
        <w:rPr>
          <w:rFonts w:asciiTheme="minorHAnsi" w:hAnsiTheme="minorHAnsi" w:cs="Calibri"/>
          <w:i/>
        </w:rPr>
        <w:t xml:space="preserve"> Trial</w:t>
      </w:r>
      <w:r w:rsidRPr="00A357E0">
        <w:rPr>
          <w:rFonts w:asciiTheme="minorHAnsi" w:hAnsiTheme="minorHAnsi" w:cs="Calibri"/>
          <w:i/>
        </w:rPr>
        <w:t xml:space="preserve"> Panel Deed 201</w:t>
      </w:r>
      <w:r w:rsidR="00C311B4" w:rsidRPr="00A357E0">
        <w:rPr>
          <w:rFonts w:asciiTheme="minorHAnsi" w:hAnsiTheme="minorHAnsi" w:cs="Calibri"/>
          <w:i/>
        </w:rPr>
        <w:t>8</w:t>
      </w:r>
      <w:r w:rsidRPr="00A357E0">
        <w:rPr>
          <w:rFonts w:asciiTheme="minorHAnsi" w:hAnsiTheme="minorHAnsi" w:cs="Calibri"/>
          <w:i/>
        </w:rPr>
        <w:t>-202</w:t>
      </w:r>
      <w:r w:rsidR="006D4965" w:rsidRPr="00A357E0">
        <w:rPr>
          <w:rFonts w:asciiTheme="minorHAnsi" w:hAnsiTheme="minorHAnsi" w:cs="Calibri"/>
          <w:i/>
        </w:rPr>
        <w:t>2</w:t>
      </w:r>
      <w:r w:rsidR="00B017C4" w:rsidRPr="00A357E0">
        <w:rPr>
          <w:rFonts w:asciiTheme="minorHAnsi" w:hAnsiTheme="minorHAnsi" w:cs="Calibri"/>
          <w:i/>
        </w:rPr>
        <w:t xml:space="preserve"> </w:t>
      </w:r>
      <w:r w:rsidR="00B017C4" w:rsidRPr="00A357E0">
        <w:rPr>
          <w:rFonts w:asciiTheme="minorHAnsi" w:hAnsiTheme="minorHAnsi" w:cs="Calibri"/>
        </w:rPr>
        <w:t>that will be implemented by the Deed of Variation</w:t>
      </w:r>
      <w:r w:rsidRPr="00A357E0">
        <w:rPr>
          <w:rFonts w:asciiTheme="minorHAnsi" w:hAnsiTheme="minorHAnsi" w:cs="Calibri"/>
        </w:rPr>
        <w:t>.</w:t>
      </w:r>
    </w:p>
    <w:tbl>
      <w:tblPr>
        <w:tblStyle w:val="TableGrid"/>
        <w:tblW w:w="4952" w:type="pct"/>
        <w:tblInd w:w="127" w:type="dxa"/>
        <w:tblBorders>
          <w:top w:val="single" w:sz="12" w:space="0" w:color="70ACA7"/>
          <w:left w:val="single" w:sz="12" w:space="0" w:color="70ACA7"/>
          <w:bottom w:val="single" w:sz="12" w:space="0" w:color="70ACA7"/>
          <w:right w:val="single" w:sz="12" w:space="0" w:color="70ACA7"/>
          <w:insideH w:val="single" w:sz="12" w:space="0" w:color="70ACA7"/>
          <w:insideV w:val="single" w:sz="12" w:space="0" w:color="70ACA7"/>
        </w:tblBorders>
        <w:tblLook w:val="0000" w:firstRow="0" w:lastRow="0" w:firstColumn="0" w:lastColumn="0" w:noHBand="0" w:noVBand="0"/>
      </w:tblPr>
      <w:tblGrid>
        <w:gridCol w:w="2022"/>
        <w:gridCol w:w="3505"/>
        <w:gridCol w:w="10052"/>
      </w:tblGrid>
      <w:tr w:rsidR="00A357E0" w:rsidRPr="00A357E0" w:rsidTr="00666277">
        <w:trPr>
          <w:trHeight w:val="567"/>
          <w:tblHeader/>
        </w:trPr>
        <w:tc>
          <w:tcPr>
            <w:tcW w:w="649" w:type="pct"/>
            <w:shd w:val="clear" w:color="auto" w:fill="D6E7E6"/>
          </w:tcPr>
          <w:p w:rsidR="00C47068" w:rsidRPr="00A357E0" w:rsidRDefault="00C47068" w:rsidP="00A357E0">
            <w:pPr>
              <w:spacing w:before="60" w:after="60"/>
              <w:jc w:val="center"/>
              <w:rPr>
                <w:b/>
              </w:rPr>
            </w:pPr>
            <w:r w:rsidRPr="00A357E0">
              <w:rPr>
                <w:b/>
              </w:rPr>
              <w:t>Purpose</w:t>
            </w:r>
          </w:p>
        </w:tc>
        <w:tc>
          <w:tcPr>
            <w:tcW w:w="1125" w:type="pct"/>
            <w:shd w:val="clear" w:color="auto" w:fill="D6E7E6"/>
            <w:vAlign w:val="center"/>
          </w:tcPr>
          <w:p w:rsidR="00C47068" w:rsidRPr="00A357E0" w:rsidRDefault="00515674" w:rsidP="00A357E0">
            <w:pPr>
              <w:spacing w:before="60" w:after="60"/>
              <w:jc w:val="center"/>
              <w:rPr>
                <w:b/>
              </w:rPr>
            </w:pPr>
            <w:r w:rsidRPr="00A357E0">
              <w:rPr>
                <w:b/>
              </w:rPr>
              <w:t>SUBJECT</w:t>
            </w:r>
            <w:r w:rsidR="00014126" w:rsidRPr="00A357E0">
              <w:rPr>
                <w:b/>
              </w:rPr>
              <w:br/>
            </w:r>
            <w:r w:rsidRPr="00A357E0">
              <w:rPr>
                <w:b/>
              </w:rPr>
              <w:t>(</w:t>
            </w:r>
            <w:r w:rsidR="00C47068" w:rsidRPr="00A357E0">
              <w:rPr>
                <w:b/>
              </w:rPr>
              <w:t>REFERENCE IN DEED</w:t>
            </w:r>
            <w:r w:rsidRPr="00A357E0">
              <w:rPr>
                <w:b/>
              </w:rPr>
              <w:t>)</w:t>
            </w:r>
          </w:p>
        </w:tc>
        <w:tc>
          <w:tcPr>
            <w:tcW w:w="3226" w:type="pct"/>
            <w:shd w:val="clear" w:color="auto" w:fill="D6E7E6"/>
            <w:vAlign w:val="center"/>
          </w:tcPr>
          <w:p w:rsidR="00C47068" w:rsidRPr="00A357E0" w:rsidRDefault="00C47068" w:rsidP="00A357E0">
            <w:pPr>
              <w:spacing w:before="60" w:after="60"/>
              <w:jc w:val="center"/>
              <w:rPr>
                <w:b/>
              </w:rPr>
            </w:pPr>
            <w:r w:rsidRPr="00A357E0">
              <w:rPr>
                <w:b/>
              </w:rPr>
              <w:t>SUMMARY</w:t>
            </w:r>
          </w:p>
        </w:tc>
      </w:tr>
      <w:tr w:rsidR="00666277" w:rsidRPr="00A357E0" w:rsidTr="00666277">
        <w:tc>
          <w:tcPr>
            <w:tcW w:w="649" w:type="pct"/>
            <w:vMerge w:val="restart"/>
            <w:shd w:val="clear" w:color="auto" w:fill="F2F2F2" w:themeFill="background1" w:themeFillShade="F2"/>
          </w:tcPr>
          <w:p w:rsidR="00085BE1" w:rsidRPr="00A357E0" w:rsidRDefault="00085BE1" w:rsidP="00A357E0">
            <w:pPr>
              <w:spacing w:before="60" w:after="60"/>
            </w:pPr>
            <w:r w:rsidRPr="00A357E0">
              <w:t>Amalgamation of the two CTA Elements (namely the Tailored Career Assistance Element and the Functional Digital Literacy Element), into one ‘CTA Course’</w:t>
            </w:r>
          </w:p>
          <w:p w:rsidR="00085BE1" w:rsidRPr="00A357E0" w:rsidRDefault="00085BE1" w:rsidP="00A357E0">
            <w:pPr>
              <w:spacing w:before="60" w:after="60"/>
            </w:pPr>
          </w:p>
        </w:tc>
        <w:tc>
          <w:tcPr>
            <w:tcW w:w="1125" w:type="pct"/>
            <w:shd w:val="clear" w:color="auto" w:fill="F2F2F2" w:themeFill="background1" w:themeFillShade="F2"/>
            <w:vAlign w:val="center"/>
          </w:tcPr>
          <w:p w:rsidR="00085BE1" w:rsidRPr="00A357E0" w:rsidRDefault="00515674" w:rsidP="00A357E0">
            <w:pPr>
              <w:spacing w:before="60" w:after="60"/>
              <w:jc w:val="center"/>
            </w:pPr>
            <w:r w:rsidRPr="00A357E0">
              <w:t>CTA Course</w:t>
            </w:r>
            <w:r w:rsidRPr="00A357E0">
              <w:br/>
              <w:t>(</w:t>
            </w:r>
            <w:r w:rsidR="00085BE1" w:rsidRPr="00A357E0">
              <w:t>Throughout entire Deed</w:t>
            </w:r>
            <w:r w:rsidRPr="00A357E0">
              <w:t>)</w:t>
            </w:r>
          </w:p>
        </w:tc>
        <w:tc>
          <w:tcPr>
            <w:tcW w:w="3226" w:type="pct"/>
            <w:shd w:val="clear" w:color="auto" w:fill="F2F2F2" w:themeFill="background1" w:themeFillShade="F2"/>
            <w:vAlign w:val="center"/>
          </w:tcPr>
          <w:p w:rsidR="00085BE1" w:rsidRPr="00A357E0" w:rsidRDefault="00085BE1" w:rsidP="00A357E0">
            <w:pPr>
              <w:spacing w:before="60" w:after="60"/>
            </w:pPr>
            <w:r w:rsidRPr="00A357E0">
              <w:t>Amendments throughout entire Deed to reflect that the two ‘CTA Elements’ (namely the Tailored Career Assistance Element and the Functional Digital Literacy Element), have been replaced with one ‘CTA Course’, which the CTA provider must provide Participants in accordance with Schedule 2 of the Deed.</w:t>
            </w:r>
          </w:p>
        </w:tc>
      </w:tr>
      <w:tr w:rsidR="00666277" w:rsidRPr="00A357E0" w:rsidTr="00666277">
        <w:trPr>
          <w:trHeight w:val="53"/>
        </w:trPr>
        <w:tc>
          <w:tcPr>
            <w:tcW w:w="649" w:type="pct"/>
            <w:vMerge/>
            <w:shd w:val="clear" w:color="auto" w:fill="F2F2F2" w:themeFill="background1" w:themeFillShade="F2"/>
          </w:tcPr>
          <w:p w:rsidR="00085BE1" w:rsidRPr="00A357E0" w:rsidRDefault="00085BE1" w:rsidP="00A357E0">
            <w:pPr>
              <w:spacing w:before="60" w:after="60"/>
              <w:jc w:val="center"/>
              <w:rPr>
                <w:b/>
              </w:rPr>
            </w:pPr>
          </w:p>
        </w:tc>
        <w:tc>
          <w:tcPr>
            <w:tcW w:w="1125" w:type="pct"/>
            <w:shd w:val="clear" w:color="auto" w:fill="F2F2F2" w:themeFill="background1" w:themeFillShade="F2"/>
            <w:vAlign w:val="center"/>
          </w:tcPr>
          <w:p w:rsidR="00085BE1" w:rsidRPr="00A357E0" w:rsidRDefault="00515674" w:rsidP="00A357E0">
            <w:pPr>
              <w:spacing w:before="60" w:after="60"/>
              <w:jc w:val="center"/>
            </w:pPr>
            <w:r w:rsidRPr="00A357E0">
              <w:t>Standing offer to deliver the Services</w:t>
            </w:r>
            <w:r w:rsidRPr="00A357E0">
              <w:br/>
              <w:t>(</w:t>
            </w:r>
            <w:r w:rsidR="00085BE1" w:rsidRPr="00A357E0">
              <w:t>Clause 3</w:t>
            </w:r>
            <w:r w:rsidRPr="00A357E0">
              <w:t>)</w:t>
            </w:r>
          </w:p>
        </w:tc>
        <w:tc>
          <w:tcPr>
            <w:tcW w:w="3226" w:type="pct"/>
            <w:shd w:val="clear" w:color="auto" w:fill="F2F2F2" w:themeFill="background1" w:themeFillShade="F2"/>
            <w:vAlign w:val="center"/>
          </w:tcPr>
          <w:p w:rsidR="00085BE1" w:rsidRPr="00A357E0" w:rsidRDefault="00085BE1" w:rsidP="00A357E0">
            <w:pPr>
              <w:spacing w:before="60" w:after="60"/>
            </w:pPr>
            <w:r w:rsidRPr="00A357E0">
              <w:t xml:space="preserve">Amendments to heading of clause to reflect the departure from ‘CTA Elements’. </w:t>
            </w:r>
          </w:p>
        </w:tc>
      </w:tr>
      <w:tr w:rsidR="00666277" w:rsidRPr="00A357E0" w:rsidTr="00666277">
        <w:trPr>
          <w:trHeight w:val="975"/>
        </w:trPr>
        <w:tc>
          <w:tcPr>
            <w:tcW w:w="649" w:type="pct"/>
            <w:vMerge/>
            <w:shd w:val="clear" w:color="auto" w:fill="F2F2F2" w:themeFill="background1" w:themeFillShade="F2"/>
          </w:tcPr>
          <w:p w:rsidR="00085BE1" w:rsidRPr="00A357E0" w:rsidRDefault="00085BE1" w:rsidP="00A357E0">
            <w:pPr>
              <w:spacing w:before="60" w:after="60"/>
              <w:jc w:val="center"/>
              <w:rPr>
                <w:b/>
              </w:rPr>
            </w:pPr>
          </w:p>
        </w:tc>
        <w:tc>
          <w:tcPr>
            <w:tcW w:w="1125" w:type="pct"/>
            <w:shd w:val="clear" w:color="auto" w:fill="F2F2F2" w:themeFill="background1" w:themeFillShade="F2"/>
            <w:vAlign w:val="center"/>
          </w:tcPr>
          <w:p w:rsidR="00085BE1" w:rsidRPr="00A357E0" w:rsidRDefault="00085BE1" w:rsidP="00A357E0">
            <w:pPr>
              <w:spacing w:before="60" w:after="60"/>
              <w:jc w:val="center"/>
            </w:pPr>
            <w:r w:rsidRPr="00A357E0">
              <w:t>CTA Course requirements (Items 8.1, 8.2, 8.3, 8.4, 8.7(a)(iv) and 8.7(h), of Schedule 2)</w:t>
            </w:r>
          </w:p>
        </w:tc>
        <w:tc>
          <w:tcPr>
            <w:tcW w:w="3226" w:type="pct"/>
            <w:shd w:val="clear" w:color="auto" w:fill="F2F2F2" w:themeFill="background1" w:themeFillShade="F2"/>
            <w:vAlign w:val="center"/>
          </w:tcPr>
          <w:p w:rsidR="00085BE1" w:rsidRPr="00A357E0" w:rsidRDefault="00085BE1" w:rsidP="00A357E0">
            <w:pPr>
              <w:spacing w:before="60" w:after="60"/>
            </w:pPr>
            <w:r w:rsidRPr="00A357E0">
              <w:t>New items specifying that a CTA Provider must only commence a Participant in a CTA Course if they have been Referred through the Department’s IT Systems, and the Participant has not been Exited under item 4.5.</w:t>
            </w:r>
          </w:p>
          <w:p w:rsidR="00085BE1" w:rsidRPr="00A357E0" w:rsidRDefault="00085BE1" w:rsidP="00A357E0">
            <w:pPr>
              <w:spacing w:before="60" w:after="60"/>
            </w:pPr>
            <w:r w:rsidRPr="00A357E0">
              <w:t xml:space="preserve">New item stating that the CTA Provider must record each CTA Course in the Department’s IT Systems. </w:t>
            </w:r>
          </w:p>
          <w:p w:rsidR="00085BE1" w:rsidRPr="00A357E0" w:rsidRDefault="00085BE1" w:rsidP="00A357E0">
            <w:pPr>
              <w:spacing w:before="60" w:after="60"/>
            </w:pPr>
            <w:r w:rsidRPr="00A357E0">
              <w:t xml:space="preserve">Amendments to specify that the first day of each CTA Course is the date the Initial Meeting was completed, and each CTA Course must be delivered for at least 75 hours (with 50 of those hours delivered in a small group setting) over an </w:t>
            </w:r>
            <w:bookmarkStart w:id="0" w:name="_GoBack"/>
            <w:bookmarkEnd w:id="0"/>
            <w:r w:rsidRPr="00A357E0">
              <w:t>eight week period or less.</w:t>
            </w:r>
          </w:p>
          <w:p w:rsidR="00085BE1" w:rsidRPr="00A357E0" w:rsidRDefault="00085BE1" w:rsidP="00A357E0">
            <w:pPr>
              <w:spacing w:before="60" w:after="60"/>
            </w:pPr>
            <w:r w:rsidRPr="00A357E0">
              <w:t>Amendments to provide that the Career Pathway Assessment must assess the Participant’s confidence and capability in using digital technology, identifying key areas in which the Participant requires assistance.</w:t>
            </w:r>
          </w:p>
          <w:p w:rsidR="00085BE1" w:rsidRPr="00A357E0" w:rsidRDefault="00085BE1" w:rsidP="00A357E0">
            <w:pPr>
              <w:spacing w:before="60" w:after="60"/>
            </w:pPr>
            <w:r w:rsidRPr="00A357E0">
              <w:t>Please note that elements of previous item 10 of Schedule 2 have been integrated into new item 8.7(h), as there is no longer a ‘Functional Digital Literacy Element’, but rather Functional Digital Literacy forms a core component of each CTA Course.</w:t>
            </w:r>
          </w:p>
        </w:tc>
      </w:tr>
      <w:tr w:rsidR="006501D5" w:rsidRPr="00A357E0" w:rsidTr="00666277">
        <w:trPr>
          <w:trHeight w:val="50"/>
        </w:trPr>
        <w:tc>
          <w:tcPr>
            <w:tcW w:w="649" w:type="pct"/>
            <w:vMerge/>
            <w:shd w:val="clear" w:color="auto" w:fill="F2F2F2" w:themeFill="background1" w:themeFillShade="F2"/>
          </w:tcPr>
          <w:p w:rsidR="00085BE1" w:rsidRPr="00A357E0" w:rsidRDefault="00085BE1" w:rsidP="00A357E0">
            <w:pPr>
              <w:spacing w:before="60" w:after="60"/>
              <w:jc w:val="center"/>
              <w:rPr>
                <w:b/>
              </w:rPr>
            </w:pPr>
          </w:p>
        </w:tc>
        <w:tc>
          <w:tcPr>
            <w:tcW w:w="1125" w:type="pct"/>
            <w:shd w:val="clear" w:color="auto" w:fill="F2F2F2" w:themeFill="background1" w:themeFillShade="F2"/>
            <w:vAlign w:val="center"/>
          </w:tcPr>
          <w:p w:rsidR="00085BE1" w:rsidRPr="00A357E0" w:rsidRDefault="00085BE1" w:rsidP="00A357E0">
            <w:pPr>
              <w:spacing w:before="60" w:after="60"/>
              <w:jc w:val="center"/>
            </w:pPr>
            <w:r w:rsidRPr="00A357E0">
              <w:t>Key Performance Requirement</w:t>
            </w:r>
            <w:r w:rsidR="00D77FD0" w:rsidRPr="00A357E0">
              <w:br/>
            </w:r>
            <w:r w:rsidRPr="00A357E0">
              <w:t>(Schedule 3)</w:t>
            </w:r>
          </w:p>
        </w:tc>
        <w:tc>
          <w:tcPr>
            <w:tcW w:w="3226" w:type="pct"/>
            <w:shd w:val="clear" w:color="auto" w:fill="F2F2F2" w:themeFill="background1" w:themeFillShade="F2"/>
            <w:vAlign w:val="center"/>
          </w:tcPr>
          <w:p w:rsidR="00085BE1" w:rsidRPr="00A357E0" w:rsidRDefault="00085BE1" w:rsidP="00A357E0">
            <w:pPr>
              <w:spacing w:before="60" w:after="60"/>
            </w:pPr>
            <w:r w:rsidRPr="00A357E0">
              <w:t>Amendments to KPI 2 (Efficiency) to clarify that this indicator will focus on the proportion of Participants that commence in CTA and receive a Career Pathway Assessment; and proportion of Participants that complete a CTA Course, receive a Career Pathway Plan, Résumé, and two further Contacts.</w:t>
            </w:r>
          </w:p>
        </w:tc>
      </w:tr>
      <w:tr w:rsidR="00B471D8" w:rsidRPr="00A357E0" w:rsidTr="00666277">
        <w:tc>
          <w:tcPr>
            <w:tcW w:w="649" w:type="pct"/>
            <w:vMerge w:val="restart"/>
            <w:shd w:val="clear" w:color="auto" w:fill="FFFFCC"/>
          </w:tcPr>
          <w:p w:rsidR="00B471D8" w:rsidRPr="00A357E0" w:rsidRDefault="00B471D8" w:rsidP="00A357E0">
            <w:pPr>
              <w:spacing w:before="60" w:after="60"/>
              <w:ind w:left="164"/>
            </w:pPr>
            <w:r w:rsidRPr="00A357E0">
              <w:t>Automating Payments and Referrals</w:t>
            </w:r>
          </w:p>
        </w:tc>
        <w:tc>
          <w:tcPr>
            <w:tcW w:w="1125" w:type="pct"/>
            <w:shd w:val="clear" w:color="auto" w:fill="FFFFCC"/>
            <w:vAlign w:val="center"/>
          </w:tcPr>
          <w:p w:rsidR="00B471D8" w:rsidRPr="00A357E0" w:rsidRDefault="00B471D8" w:rsidP="00A357E0">
            <w:pPr>
              <w:spacing w:before="60" w:after="60"/>
              <w:jc w:val="center"/>
            </w:pPr>
            <w:r w:rsidRPr="00A357E0">
              <w:t xml:space="preserve">Fees payable by the Department </w:t>
            </w:r>
            <w:r w:rsidRPr="00A357E0">
              <w:br/>
              <w:t>(Clauses 3.2(d)(v)(A) and 3.2(g))</w:t>
            </w:r>
          </w:p>
        </w:tc>
        <w:tc>
          <w:tcPr>
            <w:tcW w:w="3226" w:type="pct"/>
            <w:shd w:val="clear" w:color="auto" w:fill="FFFFCC"/>
            <w:vAlign w:val="center"/>
          </w:tcPr>
          <w:p w:rsidR="00B471D8" w:rsidRPr="00A357E0" w:rsidRDefault="00B471D8" w:rsidP="00A357E0">
            <w:pPr>
              <w:spacing w:before="60" w:after="60"/>
            </w:pPr>
            <w:r w:rsidRPr="00A357E0">
              <w:t>Amendments to clarify that the standard flat fees are payable to the CTA Provider by the Department.</w:t>
            </w:r>
          </w:p>
        </w:tc>
      </w:tr>
      <w:tr w:rsidR="00B471D8" w:rsidRPr="00A357E0" w:rsidTr="00666277">
        <w:tc>
          <w:tcPr>
            <w:tcW w:w="649" w:type="pct"/>
            <w:vMerge/>
            <w:shd w:val="clear" w:color="auto" w:fill="FFFFCC"/>
          </w:tcPr>
          <w:p w:rsidR="00B471D8" w:rsidRPr="00A357E0" w:rsidRDefault="00B471D8" w:rsidP="00A357E0">
            <w:pPr>
              <w:spacing w:before="60" w:after="60"/>
              <w:jc w:val="center"/>
            </w:pPr>
          </w:p>
        </w:tc>
        <w:tc>
          <w:tcPr>
            <w:tcW w:w="1125" w:type="pct"/>
            <w:shd w:val="clear" w:color="auto" w:fill="FFFFCC"/>
            <w:vAlign w:val="center"/>
          </w:tcPr>
          <w:p w:rsidR="00B471D8" w:rsidRPr="00A357E0" w:rsidRDefault="00B471D8" w:rsidP="00A357E0">
            <w:pPr>
              <w:spacing w:before="60" w:after="60"/>
              <w:jc w:val="center"/>
            </w:pPr>
            <w:r w:rsidRPr="00A357E0">
              <w:t xml:space="preserve">Payments </w:t>
            </w:r>
            <w:r w:rsidRPr="00A357E0">
              <w:br/>
              <w:t>(Clause 4)</w:t>
            </w:r>
          </w:p>
        </w:tc>
        <w:tc>
          <w:tcPr>
            <w:tcW w:w="3226" w:type="pct"/>
            <w:shd w:val="clear" w:color="auto" w:fill="FFFFCC"/>
            <w:vAlign w:val="center"/>
          </w:tcPr>
          <w:p w:rsidR="00B471D8" w:rsidRPr="00A357E0" w:rsidRDefault="00B471D8" w:rsidP="00A357E0">
            <w:pPr>
              <w:spacing w:before="60" w:after="60"/>
            </w:pPr>
            <w:r w:rsidRPr="00A357E0">
              <w:t>New clauses providing details about the fees to be paid to the CTA Provider by the Department. This includes information about ‘Exclusions’ and ‘Taxes, duties and government charges’.</w:t>
            </w:r>
          </w:p>
        </w:tc>
      </w:tr>
      <w:tr w:rsidR="00B471D8" w:rsidRPr="00A357E0" w:rsidTr="00666277">
        <w:tc>
          <w:tcPr>
            <w:tcW w:w="649" w:type="pct"/>
            <w:vMerge/>
            <w:shd w:val="clear" w:color="auto" w:fill="FFFFCC"/>
          </w:tcPr>
          <w:p w:rsidR="00B471D8" w:rsidRPr="00A357E0" w:rsidRDefault="00B471D8" w:rsidP="00A357E0">
            <w:pPr>
              <w:spacing w:before="60" w:after="60"/>
              <w:jc w:val="center"/>
            </w:pPr>
          </w:p>
        </w:tc>
        <w:tc>
          <w:tcPr>
            <w:tcW w:w="1125" w:type="pct"/>
            <w:shd w:val="clear" w:color="auto" w:fill="FFFFCC"/>
            <w:vAlign w:val="center"/>
          </w:tcPr>
          <w:p w:rsidR="00B471D8" w:rsidRPr="00A357E0" w:rsidRDefault="00B471D8" w:rsidP="00A357E0">
            <w:pPr>
              <w:spacing w:before="60" w:after="60"/>
              <w:jc w:val="center"/>
            </w:pPr>
            <w:r w:rsidRPr="00A357E0">
              <w:t xml:space="preserve">Documentary Evidence and payment </w:t>
            </w:r>
            <w:r w:rsidRPr="00A357E0">
              <w:br/>
              <w:t>(Clause 5)</w:t>
            </w:r>
          </w:p>
        </w:tc>
        <w:tc>
          <w:tcPr>
            <w:tcW w:w="3226" w:type="pct"/>
            <w:shd w:val="clear" w:color="auto" w:fill="FFFFCC"/>
            <w:vAlign w:val="center"/>
          </w:tcPr>
          <w:p w:rsidR="00B471D8" w:rsidRPr="00A357E0" w:rsidRDefault="00B471D8" w:rsidP="00A357E0">
            <w:pPr>
              <w:spacing w:before="60" w:after="60"/>
            </w:pPr>
            <w:r w:rsidRPr="00A357E0">
              <w:t xml:space="preserve">New clauses specifying that all information provided to the Department is true, complete and accurate, and any data entered into the Department’s IT Systems is consistent with the CTA Provider’s Documentary Evidence. </w:t>
            </w:r>
          </w:p>
          <w:p w:rsidR="00B471D8" w:rsidRPr="00A357E0" w:rsidRDefault="00B471D8" w:rsidP="00A357E0">
            <w:pPr>
              <w:spacing w:before="60" w:after="60"/>
            </w:pPr>
            <w:r w:rsidRPr="00A357E0">
              <w:t>Further details about Documentary Evidence, and how it is a precondition to the CTA Provider’s entitlement to be paid that the CTA Provider has true, complete and accurate Documentary Evidence sufficient to prove their entitlement to the payment of that fee.</w:t>
            </w:r>
          </w:p>
        </w:tc>
      </w:tr>
      <w:tr w:rsidR="00B471D8" w:rsidRPr="00A357E0" w:rsidTr="00666277">
        <w:tc>
          <w:tcPr>
            <w:tcW w:w="649" w:type="pct"/>
            <w:vMerge/>
            <w:shd w:val="clear" w:color="auto" w:fill="FFFFCC"/>
          </w:tcPr>
          <w:p w:rsidR="00B471D8" w:rsidRPr="00A357E0" w:rsidRDefault="00B471D8" w:rsidP="00A357E0">
            <w:pPr>
              <w:spacing w:before="60" w:after="60"/>
              <w:jc w:val="center"/>
            </w:pPr>
          </w:p>
        </w:tc>
        <w:tc>
          <w:tcPr>
            <w:tcW w:w="1125" w:type="pct"/>
            <w:shd w:val="clear" w:color="auto" w:fill="FFFFCC"/>
            <w:vAlign w:val="center"/>
          </w:tcPr>
          <w:p w:rsidR="00B471D8" w:rsidRPr="00A357E0" w:rsidRDefault="00B471D8" w:rsidP="00A357E0">
            <w:pPr>
              <w:spacing w:before="60" w:after="60"/>
              <w:jc w:val="center"/>
            </w:pPr>
            <w:r w:rsidRPr="00A357E0">
              <w:t xml:space="preserve">Employment Fund </w:t>
            </w:r>
            <w:r w:rsidRPr="00A357E0">
              <w:br/>
              <w:t>(Clause 6)</w:t>
            </w:r>
          </w:p>
        </w:tc>
        <w:tc>
          <w:tcPr>
            <w:tcW w:w="3226" w:type="pct"/>
            <w:shd w:val="clear" w:color="auto" w:fill="FFFFCC"/>
            <w:vAlign w:val="center"/>
          </w:tcPr>
          <w:p w:rsidR="00B471D8" w:rsidRPr="00A357E0" w:rsidRDefault="00B471D8" w:rsidP="00A357E0">
            <w:pPr>
              <w:spacing w:before="60" w:after="60"/>
            </w:pPr>
            <w:r w:rsidRPr="00A357E0">
              <w:t>New clause regarding seeking payment from the Employment Fund, and clarifying that if payment is claimed inconsistently with the Deed or the Guidelines, the Department may terminate the Deed.</w:t>
            </w:r>
          </w:p>
        </w:tc>
      </w:tr>
      <w:tr w:rsidR="00B471D8" w:rsidRPr="00A357E0" w:rsidTr="00666277">
        <w:tc>
          <w:tcPr>
            <w:tcW w:w="649" w:type="pct"/>
            <w:vMerge/>
            <w:shd w:val="clear" w:color="auto" w:fill="FFFFCC"/>
          </w:tcPr>
          <w:p w:rsidR="00B471D8" w:rsidRPr="00A357E0" w:rsidRDefault="00B471D8" w:rsidP="00A357E0">
            <w:pPr>
              <w:spacing w:before="60" w:after="60"/>
              <w:jc w:val="center"/>
            </w:pPr>
          </w:p>
        </w:tc>
        <w:tc>
          <w:tcPr>
            <w:tcW w:w="1125" w:type="pct"/>
            <w:shd w:val="clear" w:color="auto" w:fill="FFFFCC"/>
            <w:vAlign w:val="center"/>
          </w:tcPr>
          <w:p w:rsidR="00B471D8" w:rsidRPr="00A357E0" w:rsidRDefault="00B471D8" w:rsidP="00A357E0">
            <w:pPr>
              <w:spacing w:before="60" w:after="60"/>
              <w:jc w:val="center"/>
            </w:pPr>
            <w:r w:rsidRPr="00A357E0">
              <w:t xml:space="preserve">Overpayment and double payment </w:t>
            </w:r>
            <w:r w:rsidRPr="00A357E0">
              <w:br/>
              <w:t>(Clause 7)</w:t>
            </w:r>
          </w:p>
        </w:tc>
        <w:tc>
          <w:tcPr>
            <w:tcW w:w="3226" w:type="pct"/>
            <w:shd w:val="clear" w:color="auto" w:fill="FFFFCC"/>
            <w:vAlign w:val="center"/>
          </w:tcPr>
          <w:p w:rsidR="00B471D8" w:rsidRPr="00A357E0" w:rsidRDefault="00B471D8" w:rsidP="00A357E0">
            <w:pPr>
              <w:spacing w:before="60" w:after="60"/>
            </w:pPr>
            <w:r w:rsidRPr="00A357E0">
              <w:t xml:space="preserve">New clause specifying the Department’s rights to recover payments if there has been an overpayment or a payment made in error. </w:t>
            </w:r>
          </w:p>
          <w:p w:rsidR="00B471D8" w:rsidRPr="00A357E0" w:rsidRDefault="00B471D8" w:rsidP="00A357E0">
            <w:pPr>
              <w:spacing w:before="60" w:after="60"/>
            </w:pPr>
            <w:r w:rsidRPr="00A357E0">
              <w:t xml:space="preserve">New clauses disallowing the making of double payments.  </w:t>
            </w:r>
          </w:p>
        </w:tc>
      </w:tr>
      <w:tr w:rsidR="00B471D8" w:rsidRPr="00A357E0" w:rsidTr="00666277">
        <w:tc>
          <w:tcPr>
            <w:tcW w:w="649" w:type="pct"/>
            <w:vMerge/>
            <w:shd w:val="clear" w:color="auto" w:fill="FFFFCC"/>
          </w:tcPr>
          <w:p w:rsidR="00B471D8" w:rsidRPr="00A357E0" w:rsidRDefault="00B471D8" w:rsidP="00A357E0">
            <w:pPr>
              <w:spacing w:before="60" w:after="60"/>
              <w:jc w:val="center"/>
            </w:pPr>
          </w:p>
        </w:tc>
        <w:tc>
          <w:tcPr>
            <w:tcW w:w="1125" w:type="pct"/>
            <w:shd w:val="clear" w:color="auto" w:fill="FFFFCC"/>
            <w:vAlign w:val="center"/>
          </w:tcPr>
          <w:p w:rsidR="00B471D8" w:rsidRPr="00A357E0" w:rsidRDefault="00B471D8" w:rsidP="00A357E0">
            <w:pPr>
              <w:spacing w:before="60" w:after="60"/>
              <w:jc w:val="center"/>
            </w:pPr>
            <w:r w:rsidRPr="00A357E0">
              <w:t>Referral of Participants</w:t>
            </w:r>
            <w:r w:rsidRPr="00A357E0">
              <w:br/>
              <w:t>(Clause 16.4)</w:t>
            </w:r>
          </w:p>
        </w:tc>
        <w:tc>
          <w:tcPr>
            <w:tcW w:w="3226" w:type="pct"/>
            <w:shd w:val="clear" w:color="auto" w:fill="FFFFCC"/>
            <w:vAlign w:val="center"/>
          </w:tcPr>
          <w:p w:rsidR="00B471D8" w:rsidRPr="00A357E0" w:rsidRDefault="00B471D8" w:rsidP="00A357E0">
            <w:pPr>
              <w:spacing w:before="60" w:after="60"/>
            </w:pPr>
            <w:r w:rsidRPr="00A357E0">
              <w:t xml:space="preserve">Amendments to clarify that Employment Providers will Refer potential Participants to the CTA Provider through the Department’s IT Systems. </w:t>
            </w:r>
          </w:p>
        </w:tc>
      </w:tr>
      <w:tr w:rsidR="00B471D8" w:rsidRPr="00A357E0" w:rsidTr="00666277">
        <w:tc>
          <w:tcPr>
            <w:tcW w:w="649" w:type="pct"/>
            <w:vMerge/>
            <w:shd w:val="clear" w:color="auto" w:fill="FFFFCC"/>
          </w:tcPr>
          <w:p w:rsidR="00B471D8" w:rsidRPr="00A357E0" w:rsidRDefault="00B471D8" w:rsidP="00A357E0">
            <w:pPr>
              <w:spacing w:before="60" w:after="60"/>
              <w:jc w:val="center"/>
            </w:pPr>
          </w:p>
        </w:tc>
        <w:tc>
          <w:tcPr>
            <w:tcW w:w="1125" w:type="pct"/>
            <w:shd w:val="clear" w:color="auto" w:fill="FFFFCC"/>
            <w:vAlign w:val="center"/>
          </w:tcPr>
          <w:p w:rsidR="00B471D8" w:rsidRPr="00A357E0" w:rsidRDefault="00B471D8" w:rsidP="00A357E0">
            <w:pPr>
              <w:spacing w:before="60" w:after="60"/>
              <w:jc w:val="center"/>
            </w:pPr>
            <w:r w:rsidRPr="00A357E0">
              <w:t>Referral</w:t>
            </w:r>
            <w:r w:rsidRPr="00A357E0">
              <w:br/>
              <w:t>(Item 2.1 of Schedule 2)</w:t>
            </w:r>
          </w:p>
        </w:tc>
        <w:tc>
          <w:tcPr>
            <w:tcW w:w="3226" w:type="pct"/>
            <w:shd w:val="clear" w:color="auto" w:fill="FFFFCC"/>
            <w:vAlign w:val="center"/>
          </w:tcPr>
          <w:p w:rsidR="00B471D8" w:rsidRPr="00A357E0" w:rsidRDefault="00B471D8" w:rsidP="00A357E0">
            <w:pPr>
              <w:spacing w:before="60" w:after="60"/>
            </w:pPr>
            <w:r w:rsidRPr="00A357E0">
              <w:t>Amendments clarifying that, upon receipt of a Referral, the CTA Provider must, by no later than the end of the next Business Day, arrange an Initial Meeting between the relevant Facilitator and the Participant.</w:t>
            </w:r>
          </w:p>
        </w:tc>
      </w:tr>
      <w:tr w:rsidR="00B471D8" w:rsidRPr="00A357E0" w:rsidTr="00666277">
        <w:tc>
          <w:tcPr>
            <w:tcW w:w="649" w:type="pct"/>
            <w:vMerge/>
            <w:shd w:val="clear" w:color="auto" w:fill="FFFFCC"/>
          </w:tcPr>
          <w:p w:rsidR="00B471D8" w:rsidRPr="00A357E0" w:rsidRDefault="00B471D8" w:rsidP="00A357E0">
            <w:pPr>
              <w:spacing w:before="60" w:after="60"/>
              <w:jc w:val="center"/>
            </w:pPr>
          </w:p>
        </w:tc>
        <w:tc>
          <w:tcPr>
            <w:tcW w:w="1125" w:type="pct"/>
            <w:shd w:val="clear" w:color="auto" w:fill="FFFFCC"/>
            <w:vAlign w:val="center"/>
          </w:tcPr>
          <w:p w:rsidR="00B471D8" w:rsidRPr="00A357E0" w:rsidRDefault="00B471D8" w:rsidP="00A357E0">
            <w:pPr>
              <w:spacing w:before="60" w:after="60"/>
              <w:jc w:val="center"/>
            </w:pPr>
            <w:r w:rsidRPr="00A357E0">
              <w:rPr>
                <w:b/>
              </w:rPr>
              <w:t>Failure to deliver any part of the Services</w:t>
            </w:r>
            <w:r w:rsidRPr="00A357E0">
              <w:rPr>
                <w:b/>
              </w:rPr>
              <w:br/>
            </w:r>
            <w:r w:rsidRPr="00A357E0">
              <w:t>(Clause 3.3(b))</w:t>
            </w:r>
          </w:p>
        </w:tc>
        <w:tc>
          <w:tcPr>
            <w:tcW w:w="3226" w:type="pct"/>
            <w:shd w:val="clear" w:color="auto" w:fill="FFFFCC"/>
            <w:vAlign w:val="center"/>
          </w:tcPr>
          <w:p w:rsidR="00B471D8" w:rsidRPr="00A357E0" w:rsidRDefault="00B471D8" w:rsidP="00A357E0">
            <w:pPr>
              <w:spacing w:before="60" w:after="60"/>
            </w:pPr>
            <w:r w:rsidRPr="00A357E0">
              <w:t>Amendments to state that if the Department determines that the CTA Provider has failed to deliver any part of the Services in accordance with the Deed or any Guidelines, the CTA Provider must not impose any additional cost or charge on the Department in relation to rectifying the breach.</w:t>
            </w:r>
          </w:p>
        </w:tc>
      </w:tr>
      <w:tr w:rsidR="00B471D8" w:rsidRPr="00A357E0" w:rsidTr="00666277">
        <w:tc>
          <w:tcPr>
            <w:tcW w:w="649" w:type="pct"/>
            <w:vMerge/>
            <w:shd w:val="clear" w:color="auto" w:fill="FFFFCC"/>
          </w:tcPr>
          <w:p w:rsidR="00B471D8" w:rsidRPr="00A357E0" w:rsidRDefault="00B471D8" w:rsidP="00A357E0">
            <w:pPr>
              <w:spacing w:before="60" w:after="60"/>
              <w:jc w:val="center"/>
            </w:pPr>
          </w:p>
        </w:tc>
        <w:tc>
          <w:tcPr>
            <w:tcW w:w="1125" w:type="pct"/>
            <w:shd w:val="clear" w:color="auto" w:fill="FFFFCC"/>
            <w:vAlign w:val="center"/>
          </w:tcPr>
          <w:p w:rsidR="00B471D8" w:rsidRPr="00A357E0" w:rsidRDefault="00B471D8" w:rsidP="00A357E0">
            <w:pPr>
              <w:spacing w:before="60" w:after="60"/>
              <w:jc w:val="center"/>
              <w:rPr>
                <w:b/>
              </w:rPr>
            </w:pPr>
            <w:r w:rsidRPr="00A357E0">
              <w:rPr>
                <w:b/>
              </w:rPr>
              <w:t>Improperly maximising payments</w:t>
            </w:r>
            <w:r w:rsidRPr="00A357E0">
              <w:rPr>
                <w:b/>
              </w:rPr>
              <w:br/>
              <w:t>(</w:t>
            </w:r>
            <w:r w:rsidRPr="00A357E0">
              <w:t>Clause 16.6)</w:t>
            </w:r>
          </w:p>
        </w:tc>
        <w:tc>
          <w:tcPr>
            <w:tcW w:w="3226" w:type="pct"/>
            <w:shd w:val="clear" w:color="auto" w:fill="FFFFCC"/>
            <w:vAlign w:val="center"/>
          </w:tcPr>
          <w:p w:rsidR="00B471D8" w:rsidRPr="00A357E0" w:rsidRDefault="00B471D8" w:rsidP="00A357E0">
            <w:pPr>
              <w:spacing w:before="60" w:after="60"/>
            </w:pPr>
            <w:r w:rsidRPr="00A357E0">
              <w:t>New clause detailing that the CTA Provider must not engage in conduct that would have the effect of improperly maximising payments.</w:t>
            </w:r>
          </w:p>
        </w:tc>
      </w:tr>
      <w:tr w:rsidR="00666277" w:rsidRPr="00A357E0" w:rsidTr="00666277">
        <w:tc>
          <w:tcPr>
            <w:tcW w:w="649" w:type="pct"/>
            <w:vMerge w:val="restart"/>
            <w:shd w:val="clear" w:color="auto" w:fill="CCECFF"/>
          </w:tcPr>
          <w:p w:rsidR="0044161B" w:rsidRPr="00A357E0" w:rsidRDefault="0044161B" w:rsidP="00A357E0">
            <w:pPr>
              <w:spacing w:before="60" w:after="60"/>
              <w:rPr>
                <w:b/>
              </w:rPr>
            </w:pPr>
            <w:r w:rsidRPr="00A357E0">
              <w:rPr>
                <w:b/>
              </w:rPr>
              <w:t>Accessing the Department’s IT Systems</w:t>
            </w:r>
          </w:p>
        </w:tc>
        <w:tc>
          <w:tcPr>
            <w:tcW w:w="1125" w:type="pct"/>
            <w:shd w:val="clear" w:color="auto" w:fill="CCECFF"/>
            <w:vAlign w:val="center"/>
          </w:tcPr>
          <w:p w:rsidR="0044161B" w:rsidRPr="00A357E0" w:rsidRDefault="0044161B" w:rsidP="00A357E0">
            <w:pPr>
              <w:spacing w:before="60" w:after="60"/>
              <w:jc w:val="center"/>
            </w:pPr>
            <w:r w:rsidRPr="00A357E0">
              <w:t>Third Party IT Vendor (Throughout entire Deed)</w:t>
            </w:r>
          </w:p>
        </w:tc>
        <w:tc>
          <w:tcPr>
            <w:tcW w:w="3226" w:type="pct"/>
            <w:shd w:val="clear" w:color="auto" w:fill="CCECFF"/>
            <w:vAlign w:val="center"/>
          </w:tcPr>
          <w:p w:rsidR="0044161B" w:rsidRPr="00A357E0" w:rsidRDefault="0044161B" w:rsidP="00A357E0">
            <w:pPr>
              <w:spacing w:before="60" w:after="60"/>
            </w:pPr>
            <w:r w:rsidRPr="00A357E0">
              <w:t xml:space="preserve">Amendments throughout entire Deed to reflect the change of term from ‘Third Party IT Provider’ to ‘Third Party IT Vendor’. </w:t>
            </w:r>
          </w:p>
        </w:tc>
      </w:tr>
      <w:tr w:rsidR="00666277" w:rsidRPr="00A357E0" w:rsidTr="00666277">
        <w:tc>
          <w:tcPr>
            <w:tcW w:w="649" w:type="pct"/>
            <w:vMerge/>
            <w:shd w:val="clear" w:color="auto" w:fill="CCECFF"/>
          </w:tcPr>
          <w:p w:rsidR="0044161B" w:rsidRPr="00A357E0" w:rsidRDefault="0044161B" w:rsidP="00A357E0">
            <w:pPr>
              <w:spacing w:before="60" w:after="60"/>
              <w:rPr>
                <w:b/>
              </w:rPr>
            </w:pPr>
          </w:p>
        </w:tc>
        <w:tc>
          <w:tcPr>
            <w:tcW w:w="1125" w:type="pct"/>
            <w:shd w:val="clear" w:color="auto" w:fill="CCECFF"/>
            <w:vAlign w:val="center"/>
          </w:tcPr>
          <w:p w:rsidR="0044161B" w:rsidRPr="00A357E0" w:rsidRDefault="0044161B" w:rsidP="00A357E0">
            <w:pPr>
              <w:spacing w:before="60" w:after="60"/>
              <w:jc w:val="center"/>
            </w:pPr>
            <w:r w:rsidRPr="00A357E0">
              <w:t>Statement of Requirements – General requirements</w:t>
            </w:r>
            <w:r w:rsidRPr="00A357E0">
              <w:br/>
              <w:t>(Items 1.1 and 1.4 of Schedule 2)</w:t>
            </w:r>
          </w:p>
        </w:tc>
        <w:tc>
          <w:tcPr>
            <w:tcW w:w="3226" w:type="pct"/>
            <w:shd w:val="clear" w:color="auto" w:fill="CCECFF"/>
            <w:vAlign w:val="center"/>
          </w:tcPr>
          <w:p w:rsidR="0044161B" w:rsidRPr="00A357E0" w:rsidRDefault="0044161B" w:rsidP="00A357E0">
            <w:pPr>
              <w:spacing w:before="60" w:after="60"/>
            </w:pPr>
            <w:r w:rsidRPr="00A357E0">
              <w:t>New items stating that the CTA Provider must conduct the Services, and create CTA Courses, by Accessing the Department’s IT systems.</w:t>
            </w:r>
          </w:p>
        </w:tc>
      </w:tr>
      <w:tr w:rsidR="00666277" w:rsidRPr="00A357E0" w:rsidTr="00666277">
        <w:tc>
          <w:tcPr>
            <w:tcW w:w="649" w:type="pct"/>
            <w:vMerge/>
            <w:shd w:val="clear" w:color="auto" w:fill="CCECFF"/>
          </w:tcPr>
          <w:p w:rsidR="00515674" w:rsidRPr="00A357E0" w:rsidRDefault="00515674" w:rsidP="00A357E0">
            <w:pPr>
              <w:spacing w:before="60" w:after="60"/>
              <w:rPr>
                <w:b/>
              </w:rPr>
            </w:pPr>
          </w:p>
        </w:tc>
        <w:tc>
          <w:tcPr>
            <w:tcW w:w="1125" w:type="pct"/>
            <w:shd w:val="clear" w:color="auto" w:fill="CCECFF"/>
            <w:vAlign w:val="center"/>
          </w:tcPr>
          <w:p w:rsidR="00515674" w:rsidRPr="00A357E0" w:rsidRDefault="00515674" w:rsidP="00A357E0">
            <w:pPr>
              <w:spacing w:before="60" w:after="60"/>
              <w:jc w:val="center"/>
            </w:pPr>
            <w:r w:rsidRPr="00A357E0">
              <w:t xml:space="preserve">Accessing the Department’s IT Systems </w:t>
            </w:r>
            <w:r w:rsidRPr="00A357E0">
              <w:br/>
              <w:t>(Clauses 3.2(d)(iii), 3.2(d)(iv) and 3.2(d)(v)(B))</w:t>
            </w:r>
          </w:p>
        </w:tc>
        <w:tc>
          <w:tcPr>
            <w:tcW w:w="3226" w:type="pct"/>
            <w:shd w:val="clear" w:color="auto" w:fill="CCECFF"/>
            <w:vAlign w:val="center"/>
          </w:tcPr>
          <w:p w:rsidR="00515674" w:rsidRPr="00A357E0" w:rsidRDefault="00515674" w:rsidP="00A357E0">
            <w:pPr>
              <w:spacing w:before="60" w:after="60"/>
            </w:pPr>
            <w:r w:rsidRPr="00A357E0">
              <w:t>New clause stating that a CTA Agreement must include confirmation that all Referrals from Employment Providers will occur by Accessing the Department’s IT Systems.</w:t>
            </w:r>
          </w:p>
          <w:p w:rsidR="00515674" w:rsidRPr="00A357E0" w:rsidRDefault="00515674" w:rsidP="00A357E0">
            <w:pPr>
              <w:spacing w:before="60" w:after="60"/>
            </w:pPr>
            <w:r w:rsidRPr="00A357E0">
              <w:t xml:space="preserve">New clause stating that a CTA Agreement must include confirmation that the CTA Provider will conduct the Services by Accessing the Department’s IT Systems. </w:t>
            </w:r>
          </w:p>
          <w:p w:rsidR="00515674" w:rsidRPr="00A357E0" w:rsidRDefault="00515674" w:rsidP="00A357E0">
            <w:pPr>
              <w:spacing w:before="60" w:after="60"/>
            </w:pPr>
            <w:r w:rsidRPr="00A357E0">
              <w:t>New clause stating that the fees are payable to the CTA Provider by the Department once the CTA Provider has, by Accessing the Department’s IT Systems, recorded the completion of an Initial Meeting with the Participant; and that the relevant Facilitator has not assessed the Participant as unsuitable for, or not likely to benefit from participating in, the CTA Course.</w:t>
            </w:r>
          </w:p>
          <w:p w:rsidR="00515674" w:rsidRPr="00A357E0" w:rsidRDefault="00515674" w:rsidP="00A357E0">
            <w:pPr>
              <w:spacing w:before="60" w:after="60"/>
            </w:pPr>
            <w:r w:rsidRPr="00A357E0">
              <w:t>Removal of requirement stating that CTA Provider must submit a correctly rendered invoice to the Employment Provider to allow the Department to pay the fees to the CTA Provider.</w:t>
            </w:r>
          </w:p>
        </w:tc>
      </w:tr>
      <w:tr w:rsidR="00666277" w:rsidRPr="00A357E0" w:rsidTr="00666277">
        <w:tc>
          <w:tcPr>
            <w:tcW w:w="649" w:type="pct"/>
            <w:vMerge/>
            <w:shd w:val="clear" w:color="auto" w:fill="CCECFF"/>
          </w:tcPr>
          <w:p w:rsidR="00515674" w:rsidRPr="00A357E0" w:rsidRDefault="00515674" w:rsidP="00A357E0">
            <w:pPr>
              <w:spacing w:before="60" w:after="60"/>
              <w:jc w:val="center"/>
              <w:rPr>
                <w:b/>
                <w:highlight w:val="green"/>
              </w:rPr>
            </w:pPr>
          </w:p>
        </w:tc>
        <w:tc>
          <w:tcPr>
            <w:tcW w:w="1125" w:type="pct"/>
            <w:shd w:val="clear" w:color="auto" w:fill="CCECFF"/>
            <w:vAlign w:val="center"/>
          </w:tcPr>
          <w:p w:rsidR="00515674" w:rsidRPr="00A357E0" w:rsidRDefault="00515674" w:rsidP="00A357E0">
            <w:pPr>
              <w:spacing w:before="60" w:after="60"/>
              <w:jc w:val="center"/>
            </w:pPr>
            <w:r w:rsidRPr="00A357E0">
              <w:t xml:space="preserve">Information Technology </w:t>
            </w:r>
            <w:r w:rsidRPr="00A357E0">
              <w:br/>
              <w:t>(Clause 22.1)</w:t>
            </w:r>
          </w:p>
        </w:tc>
        <w:tc>
          <w:tcPr>
            <w:tcW w:w="3226" w:type="pct"/>
            <w:shd w:val="clear" w:color="auto" w:fill="CCECFF"/>
            <w:vAlign w:val="center"/>
          </w:tcPr>
          <w:p w:rsidR="00515674" w:rsidRPr="00A357E0" w:rsidRDefault="00515674" w:rsidP="00A357E0">
            <w:pPr>
              <w:spacing w:before="60" w:after="60"/>
            </w:pPr>
            <w:r w:rsidRPr="00A357E0">
              <w:t>Amendments to state that the CTA Provider must conduct the Services by Accessing the Department’s IT Systems provided by the Department for that purpose.</w:t>
            </w:r>
          </w:p>
        </w:tc>
      </w:tr>
      <w:tr w:rsidR="00666277" w:rsidRPr="00A357E0" w:rsidTr="00666277">
        <w:tc>
          <w:tcPr>
            <w:tcW w:w="649" w:type="pct"/>
            <w:vMerge/>
            <w:shd w:val="clear" w:color="auto" w:fill="CCECFF"/>
          </w:tcPr>
          <w:p w:rsidR="00515674" w:rsidRPr="00A357E0" w:rsidRDefault="00515674" w:rsidP="00A357E0">
            <w:pPr>
              <w:spacing w:before="60" w:after="60"/>
              <w:jc w:val="center"/>
              <w:rPr>
                <w:b/>
                <w:highlight w:val="green"/>
              </w:rPr>
            </w:pPr>
          </w:p>
        </w:tc>
        <w:tc>
          <w:tcPr>
            <w:tcW w:w="1125" w:type="pct"/>
            <w:shd w:val="clear" w:color="auto" w:fill="CCECFF"/>
            <w:vAlign w:val="center"/>
          </w:tcPr>
          <w:p w:rsidR="00515674" w:rsidRPr="00A357E0" w:rsidRDefault="00515674" w:rsidP="00A357E0">
            <w:pPr>
              <w:spacing w:before="60" w:after="60"/>
              <w:jc w:val="center"/>
            </w:pPr>
            <w:r w:rsidRPr="00A357E0">
              <w:t xml:space="preserve">Accessing the Department’s IT Systems </w:t>
            </w:r>
            <w:r w:rsidRPr="00A357E0">
              <w:br/>
              <w:t>(Clause 22.5)</w:t>
            </w:r>
          </w:p>
        </w:tc>
        <w:tc>
          <w:tcPr>
            <w:tcW w:w="3226" w:type="pct"/>
            <w:shd w:val="clear" w:color="auto" w:fill="CCECFF"/>
            <w:vAlign w:val="center"/>
          </w:tcPr>
          <w:p w:rsidR="00515674" w:rsidRPr="00A357E0" w:rsidRDefault="00515674" w:rsidP="00A357E0">
            <w:pPr>
              <w:spacing w:before="60" w:after="60"/>
            </w:pPr>
            <w:r w:rsidRPr="00A357E0">
              <w:t xml:space="preserve">New clause stating that the CTA Provider must provide information technology systems to Access the Department’s IT Systems and carry out its obligations. </w:t>
            </w:r>
          </w:p>
        </w:tc>
      </w:tr>
      <w:tr w:rsidR="00666277" w:rsidRPr="00A357E0" w:rsidTr="00666277">
        <w:tc>
          <w:tcPr>
            <w:tcW w:w="649" w:type="pct"/>
            <w:vMerge/>
            <w:shd w:val="clear" w:color="auto" w:fill="CCECFF"/>
          </w:tcPr>
          <w:p w:rsidR="00515674" w:rsidRPr="00A357E0" w:rsidRDefault="00515674" w:rsidP="00A357E0">
            <w:pPr>
              <w:spacing w:before="60" w:after="60"/>
              <w:jc w:val="center"/>
              <w:rPr>
                <w:b/>
                <w:highlight w:val="green"/>
              </w:rPr>
            </w:pPr>
          </w:p>
        </w:tc>
        <w:tc>
          <w:tcPr>
            <w:tcW w:w="1125" w:type="pct"/>
            <w:shd w:val="clear" w:color="auto" w:fill="CCECFF"/>
            <w:vAlign w:val="center"/>
          </w:tcPr>
          <w:p w:rsidR="00515674" w:rsidRPr="00A357E0" w:rsidRDefault="00515674" w:rsidP="00A357E0">
            <w:pPr>
              <w:spacing w:before="60" w:after="60"/>
              <w:jc w:val="center"/>
            </w:pPr>
            <w:r w:rsidRPr="00A357E0">
              <w:t xml:space="preserve">External IT Systems </w:t>
            </w:r>
            <w:r w:rsidRPr="00A357E0">
              <w:br/>
              <w:t>(Clause 22.6)</w:t>
            </w:r>
          </w:p>
        </w:tc>
        <w:tc>
          <w:tcPr>
            <w:tcW w:w="3226" w:type="pct"/>
            <w:shd w:val="clear" w:color="auto" w:fill="CCECFF"/>
            <w:vAlign w:val="center"/>
          </w:tcPr>
          <w:p w:rsidR="00515674" w:rsidRPr="00A357E0" w:rsidRDefault="00515674" w:rsidP="00A357E0">
            <w:pPr>
              <w:spacing w:before="60" w:after="60"/>
            </w:pPr>
            <w:r w:rsidRPr="00A357E0">
              <w:t>Amendments to specify that the CTA Provider must advise the Department of any proposed modification to the functionality of any Provider IT System that impacts the security of the Provider IT System.</w:t>
            </w:r>
          </w:p>
        </w:tc>
      </w:tr>
      <w:tr w:rsidR="00666277" w:rsidRPr="00A357E0" w:rsidTr="00666277">
        <w:tc>
          <w:tcPr>
            <w:tcW w:w="649" w:type="pct"/>
            <w:vMerge/>
            <w:shd w:val="clear" w:color="auto" w:fill="CCECFF"/>
          </w:tcPr>
          <w:p w:rsidR="00515674" w:rsidRPr="00A357E0" w:rsidRDefault="00515674" w:rsidP="00A357E0">
            <w:pPr>
              <w:spacing w:before="60" w:after="60"/>
              <w:jc w:val="center"/>
              <w:rPr>
                <w:b/>
                <w:highlight w:val="green"/>
              </w:rPr>
            </w:pPr>
          </w:p>
        </w:tc>
        <w:tc>
          <w:tcPr>
            <w:tcW w:w="1125" w:type="pct"/>
            <w:shd w:val="clear" w:color="auto" w:fill="CCECFF"/>
            <w:vAlign w:val="center"/>
          </w:tcPr>
          <w:p w:rsidR="00515674" w:rsidRPr="00A357E0" w:rsidRDefault="00515674" w:rsidP="00A357E0">
            <w:pPr>
              <w:spacing w:before="60" w:after="60"/>
              <w:jc w:val="center"/>
            </w:pPr>
            <w:r w:rsidRPr="00A357E0">
              <w:t xml:space="preserve">Provider IT System accreditation </w:t>
            </w:r>
            <w:r w:rsidRPr="00A357E0">
              <w:br/>
              <w:t>(Clauses 22.8, 22.9, 22.10, 22.11, 22.12 and 22.13)</w:t>
            </w:r>
          </w:p>
        </w:tc>
        <w:tc>
          <w:tcPr>
            <w:tcW w:w="3226" w:type="pct"/>
            <w:shd w:val="clear" w:color="auto" w:fill="CCECFF"/>
            <w:vAlign w:val="center"/>
          </w:tcPr>
          <w:p w:rsidR="00515674" w:rsidRPr="00A357E0" w:rsidRDefault="00515674" w:rsidP="00A357E0">
            <w:pPr>
              <w:spacing w:before="60" w:after="60"/>
            </w:pPr>
            <w:r w:rsidRPr="00A357E0">
              <w:t>New clauses specifying requirements for the CTA Provider and its Subcontractors to obtain accreditation for any Provider IT System in accordance with the requirements and timeframes set out in the ESAF.</w:t>
            </w:r>
          </w:p>
        </w:tc>
      </w:tr>
      <w:tr w:rsidR="00666277" w:rsidRPr="00A357E0" w:rsidTr="00666277">
        <w:tc>
          <w:tcPr>
            <w:tcW w:w="649" w:type="pct"/>
            <w:vMerge/>
            <w:shd w:val="clear" w:color="auto" w:fill="CCECFF"/>
          </w:tcPr>
          <w:p w:rsidR="00515674" w:rsidRPr="00A357E0" w:rsidRDefault="00515674" w:rsidP="00A357E0">
            <w:pPr>
              <w:spacing w:before="60" w:after="60"/>
              <w:jc w:val="center"/>
              <w:rPr>
                <w:b/>
                <w:highlight w:val="green"/>
              </w:rPr>
            </w:pPr>
          </w:p>
        </w:tc>
        <w:tc>
          <w:tcPr>
            <w:tcW w:w="1125" w:type="pct"/>
            <w:shd w:val="clear" w:color="auto" w:fill="CCECFF"/>
            <w:vAlign w:val="center"/>
          </w:tcPr>
          <w:p w:rsidR="00515674" w:rsidRPr="00A357E0" w:rsidRDefault="00515674" w:rsidP="00A357E0">
            <w:pPr>
              <w:spacing w:before="60" w:after="60"/>
              <w:jc w:val="center"/>
            </w:pPr>
            <w:r w:rsidRPr="00A357E0">
              <w:t xml:space="preserve">Records the CTA Provider must keep </w:t>
            </w:r>
            <w:r w:rsidRPr="00A357E0">
              <w:br/>
              <w:t>(Clauses 25.1, 25.2, 25.3, 25.4, 25.5, 25.7 and 25.13)</w:t>
            </w:r>
          </w:p>
        </w:tc>
        <w:tc>
          <w:tcPr>
            <w:tcW w:w="3226" w:type="pct"/>
            <w:shd w:val="clear" w:color="auto" w:fill="CCECFF"/>
            <w:vAlign w:val="center"/>
          </w:tcPr>
          <w:p w:rsidR="00515674" w:rsidRPr="00A357E0" w:rsidRDefault="00515674" w:rsidP="00A357E0">
            <w:pPr>
              <w:spacing w:before="60" w:after="60"/>
            </w:pPr>
            <w:r w:rsidRPr="00A357E0">
              <w:t>Amendments to specify that the CTA Provider must create and maintain true, complete and accurate Records in accordance with any Record Management Instructions.</w:t>
            </w:r>
          </w:p>
          <w:p w:rsidR="00515674" w:rsidRPr="00A357E0" w:rsidRDefault="00515674" w:rsidP="00A357E0">
            <w:pPr>
              <w:spacing w:before="60" w:after="60"/>
            </w:pPr>
            <w:r w:rsidRPr="00A357E0">
              <w:t>New clause allowing the Department to, at its absolute discretion, require the CTA Provider to comply with any special conditions it imposes in relation to Records management.</w:t>
            </w:r>
          </w:p>
          <w:p w:rsidR="00515674" w:rsidRPr="00A357E0" w:rsidRDefault="00515674" w:rsidP="00A357E0">
            <w:pPr>
              <w:spacing w:before="60" w:after="60"/>
            </w:pPr>
            <w:r w:rsidRPr="00A357E0">
              <w:t>Amendments to provide that the CTA Provider must collect and maintain a copy of the Participant feedback register for each CTA Trial Region, and sufficient Documentary Evidence to demonstrate the CTA Provider’s entitlement to any payment it claims.</w:t>
            </w:r>
          </w:p>
          <w:p w:rsidR="00515674" w:rsidRPr="00A357E0" w:rsidRDefault="00515674" w:rsidP="00A357E0">
            <w:pPr>
              <w:spacing w:before="60" w:after="60"/>
            </w:pPr>
            <w:r w:rsidRPr="00A357E0">
              <w:t xml:space="preserve">Amendments to state that the CTA Provider must provide the Department with any Records in the possession or control of the CTA Provider, a Subcontractor or a Third Party IT Vendor, when requested by the Department. </w:t>
            </w:r>
          </w:p>
          <w:p w:rsidR="00515674" w:rsidRPr="00A357E0" w:rsidRDefault="00515674" w:rsidP="00A357E0">
            <w:pPr>
              <w:spacing w:before="60" w:after="60"/>
            </w:pPr>
            <w:r w:rsidRPr="00A357E0">
              <w:t>New clause specifying the Documentary Evidence the CTA Provider must upload to the Department’s IT systems.</w:t>
            </w:r>
          </w:p>
          <w:p w:rsidR="00515674" w:rsidRPr="00A357E0" w:rsidRDefault="00515674" w:rsidP="00A357E0">
            <w:pPr>
              <w:spacing w:before="60" w:after="60"/>
            </w:pPr>
            <w:r w:rsidRPr="00A357E0">
              <w:t>Amendments to provide that the CTA Provider must maintain an up to date list of the Records held by it and any Third Party IT Vendor.</w:t>
            </w:r>
          </w:p>
          <w:p w:rsidR="00515674" w:rsidRPr="00A357E0" w:rsidRDefault="00515674" w:rsidP="00A357E0">
            <w:pPr>
              <w:spacing w:before="60" w:after="60"/>
            </w:pPr>
            <w:r w:rsidRPr="00A357E0">
              <w:t xml:space="preserve">New clause stating that any Third Party IT Vendor must comply with the requirements of clause 29 in respect of any Records it creates and maintains. </w:t>
            </w:r>
          </w:p>
        </w:tc>
      </w:tr>
      <w:tr w:rsidR="00666277" w:rsidRPr="00A357E0" w:rsidTr="00666277">
        <w:tc>
          <w:tcPr>
            <w:tcW w:w="649" w:type="pct"/>
            <w:vMerge/>
            <w:shd w:val="clear" w:color="auto" w:fill="CCECFF"/>
          </w:tcPr>
          <w:p w:rsidR="00515674" w:rsidRPr="00A357E0" w:rsidRDefault="00515674" w:rsidP="00A357E0">
            <w:pPr>
              <w:spacing w:before="60" w:after="60"/>
              <w:jc w:val="center"/>
              <w:rPr>
                <w:b/>
                <w:highlight w:val="green"/>
              </w:rPr>
            </w:pPr>
          </w:p>
        </w:tc>
        <w:tc>
          <w:tcPr>
            <w:tcW w:w="1125" w:type="pct"/>
            <w:shd w:val="clear" w:color="auto" w:fill="CCECFF"/>
            <w:vAlign w:val="center"/>
          </w:tcPr>
          <w:p w:rsidR="00515674" w:rsidRPr="00A357E0" w:rsidRDefault="00515674" w:rsidP="00A357E0">
            <w:pPr>
              <w:spacing w:before="60" w:after="60"/>
              <w:jc w:val="center"/>
            </w:pPr>
            <w:r w:rsidRPr="00A357E0">
              <w:t>Negation of employment (Clause 41)</w:t>
            </w:r>
          </w:p>
        </w:tc>
        <w:tc>
          <w:tcPr>
            <w:tcW w:w="3226" w:type="pct"/>
            <w:shd w:val="clear" w:color="auto" w:fill="CCECFF"/>
            <w:vAlign w:val="center"/>
          </w:tcPr>
          <w:p w:rsidR="00515674" w:rsidRPr="00A357E0" w:rsidRDefault="00515674" w:rsidP="00A357E0">
            <w:pPr>
              <w:spacing w:before="60" w:after="60"/>
            </w:pPr>
            <w:r w:rsidRPr="00A357E0">
              <w:t>Amendments to clarify that Third Party IT Vendors are not, and must not represent itself to be, Department Employees, partners or agents, or able to bind or represent the Commonwealth.</w:t>
            </w:r>
          </w:p>
        </w:tc>
      </w:tr>
      <w:tr w:rsidR="00666277" w:rsidRPr="00A357E0" w:rsidTr="00666277">
        <w:tc>
          <w:tcPr>
            <w:tcW w:w="649" w:type="pct"/>
            <w:vMerge/>
            <w:shd w:val="clear" w:color="auto" w:fill="CCECFF"/>
          </w:tcPr>
          <w:p w:rsidR="00515674" w:rsidRPr="00A357E0" w:rsidRDefault="00515674" w:rsidP="00A357E0">
            <w:pPr>
              <w:spacing w:before="60" w:after="60"/>
              <w:jc w:val="center"/>
              <w:rPr>
                <w:b/>
                <w:highlight w:val="green"/>
              </w:rPr>
            </w:pPr>
          </w:p>
        </w:tc>
        <w:tc>
          <w:tcPr>
            <w:tcW w:w="1125" w:type="pct"/>
            <w:shd w:val="clear" w:color="auto" w:fill="CCECFF"/>
            <w:vAlign w:val="center"/>
          </w:tcPr>
          <w:p w:rsidR="00515674" w:rsidRPr="00A357E0" w:rsidRDefault="00515674" w:rsidP="00A357E0">
            <w:pPr>
              <w:spacing w:before="60" w:after="60"/>
              <w:jc w:val="center"/>
            </w:pPr>
            <w:r w:rsidRPr="00A357E0">
              <w:t xml:space="preserve">Initial Meeting </w:t>
            </w:r>
            <w:r w:rsidRPr="00A357E0">
              <w:br/>
              <w:t>(Items 3.2 and 3.3 of Schedule 2)</w:t>
            </w:r>
          </w:p>
        </w:tc>
        <w:tc>
          <w:tcPr>
            <w:tcW w:w="3226" w:type="pct"/>
            <w:shd w:val="clear" w:color="auto" w:fill="CCECFF"/>
            <w:vAlign w:val="center"/>
          </w:tcPr>
          <w:p w:rsidR="00515674" w:rsidRPr="00A357E0" w:rsidRDefault="00515674" w:rsidP="00A357E0">
            <w:pPr>
              <w:spacing w:before="60" w:after="60"/>
            </w:pPr>
            <w:r w:rsidRPr="00A357E0">
              <w:t>New item specifying that after the Initial Meeting, the CTA Provider must record the Participant’s commencement in a CTA Course in the Department’s IT Systems.</w:t>
            </w:r>
          </w:p>
          <w:p w:rsidR="00515674" w:rsidRPr="00A357E0" w:rsidRDefault="00515674" w:rsidP="00A357E0">
            <w:pPr>
              <w:spacing w:before="60" w:after="60"/>
            </w:pPr>
            <w:r w:rsidRPr="00A357E0">
              <w:t>Amendments to provide that the CTA Provider must ensure during the Initial Meeting, the Facilitator completes a Career Pathway Assessment for the Participant.</w:t>
            </w:r>
          </w:p>
        </w:tc>
      </w:tr>
      <w:tr w:rsidR="00666277" w:rsidRPr="00A357E0" w:rsidTr="00666277">
        <w:trPr>
          <w:trHeight w:val="466"/>
        </w:trPr>
        <w:tc>
          <w:tcPr>
            <w:tcW w:w="649" w:type="pct"/>
            <w:vMerge/>
            <w:shd w:val="clear" w:color="auto" w:fill="CCECFF"/>
          </w:tcPr>
          <w:p w:rsidR="0044161B" w:rsidRPr="00A357E0" w:rsidRDefault="0044161B" w:rsidP="00A357E0">
            <w:pPr>
              <w:spacing w:before="60" w:after="60"/>
              <w:jc w:val="center"/>
              <w:rPr>
                <w:b/>
                <w:highlight w:val="green"/>
              </w:rPr>
            </w:pPr>
          </w:p>
        </w:tc>
        <w:tc>
          <w:tcPr>
            <w:tcW w:w="1125" w:type="pct"/>
            <w:shd w:val="clear" w:color="auto" w:fill="CCECFF"/>
            <w:vAlign w:val="center"/>
          </w:tcPr>
          <w:p w:rsidR="0044161B" w:rsidRPr="00A357E0" w:rsidRDefault="0044161B" w:rsidP="00A357E0">
            <w:pPr>
              <w:spacing w:before="60" w:after="60"/>
              <w:jc w:val="center"/>
            </w:pPr>
            <w:r w:rsidRPr="00A357E0">
              <w:t xml:space="preserve">Participant attendance </w:t>
            </w:r>
            <w:r w:rsidRPr="00A357E0">
              <w:br/>
              <w:t>(Items 4.1, 4.5 and 4.6 of Schedule 2)</w:t>
            </w:r>
          </w:p>
        </w:tc>
        <w:tc>
          <w:tcPr>
            <w:tcW w:w="3226" w:type="pct"/>
            <w:shd w:val="clear" w:color="auto" w:fill="CCECFF"/>
            <w:vAlign w:val="center"/>
          </w:tcPr>
          <w:p w:rsidR="0044161B" w:rsidRPr="00A357E0" w:rsidRDefault="0044161B" w:rsidP="00A357E0">
            <w:pPr>
              <w:spacing w:before="60" w:after="60"/>
            </w:pPr>
            <w:r w:rsidRPr="00A357E0">
              <w:t>Amendments to state that the CTA Provider must record each Participant’s attendance at a CTA Course in the Department’s IT Systems.</w:t>
            </w:r>
          </w:p>
          <w:p w:rsidR="0044161B" w:rsidRPr="00A357E0" w:rsidRDefault="0044161B" w:rsidP="00A357E0">
            <w:pPr>
              <w:spacing w:before="60" w:after="60"/>
            </w:pPr>
            <w:r w:rsidRPr="00A357E0">
              <w:t>New items in relation to when a Participant is Exited, and that the CTA Provider must Notify the Participant’s Employment Provider if the Participant is Exited.</w:t>
            </w:r>
          </w:p>
        </w:tc>
      </w:tr>
      <w:tr w:rsidR="00A357E0" w:rsidRPr="00A357E0" w:rsidTr="00666277">
        <w:tc>
          <w:tcPr>
            <w:tcW w:w="649" w:type="pct"/>
            <w:vMerge w:val="restart"/>
            <w:shd w:val="clear" w:color="auto" w:fill="CCFFFF"/>
          </w:tcPr>
          <w:p w:rsidR="00085BE1" w:rsidRPr="00A357E0" w:rsidRDefault="00085BE1" w:rsidP="00666277">
            <w:pPr>
              <w:spacing w:before="60" w:after="60"/>
            </w:pPr>
            <w:r w:rsidRPr="00A357E0">
              <w:t>Miscellaneous</w:t>
            </w:r>
          </w:p>
        </w:tc>
        <w:tc>
          <w:tcPr>
            <w:tcW w:w="1125" w:type="pct"/>
            <w:shd w:val="clear" w:color="auto" w:fill="CCFFFF"/>
            <w:vAlign w:val="center"/>
          </w:tcPr>
          <w:p w:rsidR="00085BE1" w:rsidRPr="00A357E0" w:rsidRDefault="00D77FD0" w:rsidP="00A357E0">
            <w:pPr>
              <w:spacing w:before="60" w:after="60"/>
              <w:jc w:val="center"/>
            </w:pPr>
            <w:r w:rsidRPr="00A357E0">
              <w:t xml:space="preserve">Definitions </w:t>
            </w:r>
            <w:r w:rsidRPr="00A357E0">
              <w:br/>
              <w:t>(</w:t>
            </w:r>
            <w:r w:rsidR="00085BE1" w:rsidRPr="00A357E0">
              <w:t>Clause 54</w:t>
            </w:r>
            <w:r w:rsidRPr="00A357E0">
              <w:t>)</w:t>
            </w:r>
          </w:p>
        </w:tc>
        <w:tc>
          <w:tcPr>
            <w:tcW w:w="3226" w:type="pct"/>
            <w:shd w:val="clear" w:color="auto" w:fill="CCFFFF"/>
            <w:vAlign w:val="center"/>
          </w:tcPr>
          <w:p w:rsidR="00085BE1" w:rsidRPr="00A357E0" w:rsidRDefault="00085BE1" w:rsidP="00A357E0">
            <w:pPr>
              <w:spacing w:before="60" w:after="60"/>
            </w:pPr>
            <w:r w:rsidRPr="00A357E0">
              <w:t>New clause to clarify that all capitalised terms have the meaning given to them in the Definitions clause 65.2, unless contrary intention appears.</w:t>
            </w:r>
          </w:p>
          <w:p w:rsidR="00085BE1" w:rsidRPr="00A357E0" w:rsidRDefault="00085BE1" w:rsidP="00A357E0">
            <w:pPr>
              <w:spacing w:before="60" w:after="60"/>
            </w:pPr>
            <w:r w:rsidRPr="00A357E0">
              <w:t>Addition of definitions, including for ‘Adjustment Note’, ‘Authorised Officer’, ‘Change in Control’,  ‘Constitution’, ‘Control’, ‘Corporation’, ‘CTA Course’, ‘Director’, ‘Documentary Evidence’, ‘Employment Fund’, ‘Employment Region’, ‘Exempt Public Authority’, ‘Exit’, ‘Existing Material’, ‘Extended Service Periods’, ‘Financial Year’, ‘General Account’, ‘GST’, ‘GST Act’, ‘Input Tax Credit’, ‘Intellectual Property Rights’, ‘Interest’, ‘Material Subcontractor’, ‘Moral Rights’, ‘National Customer Service Line’, ‘Program Assurance Activities’ ‘Records Management Instructions’, ‘Service Period’, ‘Tax Invoice’ and ‘Taxable Supply’.</w:t>
            </w:r>
          </w:p>
          <w:p w:rsidR="00085BE1" w:rsidRPr="00A357E0" w:rsidRDefault="00085BE1" w:rsidP="00A357E0">
            <w:pPr>
              <w:spacing w:before="60" w:after="60"/>
            </w:pPr>
            <w:r w:rsidRPr="00A357E0">
              <w:lastRenderedPageBreak/>
              <w:t>Some amendments made to other definitions, including to ‘Career Transition Assistance’, ‘Completion Date’, ‘CTA Agreement’, ‘CTA Trial’, ‘Department’, ‘Department’s IT Systems’, ‘Department’s Security Policies’, ‘jobactive Deed’, ‘Personal Information’, ‘Referral’, ‘Service Delivery Plan’, Services, ‘Supervision’, ‘Suspension’, ‘Third Party IT’, ‘Third Party IT Vendor’, and ‘Third Party IT Vendor Deed’. Definitions for ‘Functional Digital Literacy Assessment’, ‘Functional Digital Literacy Element’, ‘Provider Portal’, ‘Statement of Requirements’ and ‘Tailored Career Assistance Element’ have been deleted as they are no longer required.</w:t>
            </w:r>
          </w:p>
        </w:tc>
      </w:tr>
      <w:tr w:rsidR="00A357E0" w:rsidRPr="00A357E0" w:rsidTr="00666277">
        <w:tc>
          <w:tcPr>
            <w:tcW w:w="649" w:type="pct"/>
            <w:vMerge/>
            <w:shd w:val="clear" w:color="auto" w:fill="CCFFFF"/>
          </w:tcPr>
          <w:p w:rsidR="00085BE1" w:rsidRPr="00A357E0" w:rsidRDefault="00085BE1" w:rsidP="00A357E0">
            <w:pPr>
              <w:spacing w:before="60" w:after="60"/>
            </w:pPr>
          </w:p>
        </w:tc>
        <w:tc>
          <w:tcPr>
            <w:tcW w:w="1125" w:type="pct"/>
            <w:shd w:val="clear" w:color="auto" w:fill="CCFFFF"/>
            <w:vAlign w:val="center"/>
          </w:tcPr>
          <w:p w:rsidR="00085BE1" w:rsidRPr="00A357E0" w:rsidRDefault="00D77FD0" w:rsidP="00A357E0">
            <w:pPr>
              <w:spacing w:before="60" w:after="60"/>
              <w:jc w:val="center"/>
            </w:pPr>
            <w:r w:rsidRPr="00A357E0">
              <w:t>Department Name Change</w:t>
            </w:r>
            <w:r w:rsidRPr="00A357E0">
              <w:br/>
              <w:t>(</w:t>
            </w:r>
            <w:r w:rsidR="00085BE1" w:rsidRPr="00A357E0">
              <w:t>Throughout entire Deed</w:t>
            </w:r>
            <w:r w:rsidRPr="00A357E0">
              <w:t>)</w:t>
            </w:r>
          </w:p>
        </w:tc>
        <w:tc>
          <w:tcPr>
            <w:tcW w:w="3226" w:type="pct"/>
            <w:shd w:val="clear" w:color="auto" w:fill="CCFFFF"/>
            <w:vAlign w:val="center"/>
          </w:tcPr>
          <w:p w:rsidR="00085BE1" w:rsidRPr="00A357E0" w:rsidRDefault="00085BE1" w:rsidP="00A357E0">
            <w:pPr>
              <w:spacing w:before="60" w:after="60"/>
            </w:pPr>
            <w:r w:rsidRPr="00A357E0">
              <w:t>Amendments to reflect the Governor-General’s new Administrative Arrangements Order on 29 May 2019, changing ‘Department of Jobs and Small Business’ to ‘Department of Employment, Skills, Small and Family Business’.</w:t>
            </w:r>
          </w:p>
        </w:tc>
      </w:tr>
      <w:tr w:rsidR="00A357E0" w:rsidRPr="00A357E0" w:rsidTr="00666277">
        <w:tc>
          <w:tcPr>
            <w:tcW w:w="649" w:type="pct"/>
            <w:vMerge/>
            <w:shd w:val="clear" w:color="auto" w:fill="CCFFFF"/>
          </w:tcPr>
          <w:p w:rsidR="00085BE1" w:rsidRPr="00A357E0" w:rsidRDefault="00085BE1" w:rsidP="00A357E0">
            <w:pPr>
              <w:spacing w:before="60" w:after="60"/>
              <w:jc w:val="center"/>
            </w:pPr>
          </w:p>
        </w:tc>
        <w:tc>
          <w:tcPr>
            <w:tcW w:w="1125" w:type="pct"/>
            <w:shd w:val="clear" w:color="auto" w:fill="CCFFFF"/>
            <w:vAlign w:val="center"/>
          </w:tcPr>
          <w:p w:rsidR="00085BE1" w:rsidRPr="00A357E0" w:rsidRDefault="00D77FD0" w:rsidP="00A357E0">
            <w:pPr>
              <w:spacing w:before="60" w:after="60"/>
              <w:jc w:val="center"/>
            </w:pPr>
            <w:r w:rsidRPr="00A357E0">
              <w:t xml:space="preserve">Enhanced CTA Trial </w:t>
            </w:r>
            <w:r w:rsidRPr="00A357E0">
              <w:br/>
              <w:t>(</w:t>
            </w:r>
            <w:r w:rsidR="00085BE1" w:rsidRPr="00A357E0">
              <w:t>Background</w:t>
            </w:r>
            <w:r w:rsidRPr="00A357E0">
              <w:t>)</w:t>
            </w:r>
          </w:p>
        </w:tc>
        <w:tc>
          <w:tcPr>
            <w:tcW w:w="3226" w:type="pct"/>
            <w:shd w:val="clear" w:color="auto" w:fill="CCFFFF"/>
            <w:vAlign w:val="center"/>
          </w:tcPr>
          <w:p w:rsidR="00085BE1" w:rsidRPr="00A357E0" w:rsidRDefault="00085BE1" w:rsidP="00A357E0">
            <w:pPr>
              <w:spacing w:before="60" w:after="60"/>
            </w:pPr>
            <w:r w:rsidRPr="00A357E0">
              <w:t>Amendments to reflect changes to a number of aspects of the CTA Trial as a result of evaluation work undertaken in relation to the CTA Trial.</w:t>
            </w:r>
          </w:p>
        </w:tc>
      </w:tr>
      <w:tr w:rsidR="00A357E0" w:rsidRPr="00A357E0" w:rsidTr="00666277">
        <w:tc>
          <w:tcPr>
            <w:tcW w:w="649" w:type="pct"/>
            <w:vMerge/>
            <w:shd w:val="clear" w:color="auto" w:fill="CCFFFF"/>
          </w:tcPr>
          <w:p w:rsidR="00085BE1" w:rsidRPr="00A357E0" w:rsidRDefault="00085BE1" w:rsidP="00A357E0">
            <w:pPr>
              <w:spacing w:before="60" w:after="60"/>
              <w:jc w:val="center"/>
            </w:pPr>
          </w:p>
        </w:tc>
        <w:tc>
          <w:tcPr>
            <w:tcW w:w="1125" w:type="pct"/>
            <w:shd w:val="clear" w:color="auto" w:fill="CCFFFF"/>
            <w:vAlign w:val="center"/>
          </w:tcPr>
          <w:p w:rsidR="00085BE1" w:rsidRPr="00A357E0" w:rsidRDefault="00D77FD0" w:rsidP="00A357E0">
            <w:pPr>
              <w:spacing w:before="60" w:after="60"/>
              <w:jc w:val="center"/>
            </w:pPr>
            <w:r w:rsidRPr="00A357E0">
              <w:t>Term of the jobactive Deed (</w:t>
            </w:r>
            <w:r w:rsidR="00085BE1" w:rsidRPr="00A357E0">
              <w:t>Background and clause 54</w:t>
            </w:r>
            <w:r w:rsidRPr="00A357E0">
              <w:t>)</w:t>
            </w:r>
          </w:p>
        </w:tc>
        <w:tc>
          <w:tcPr>
            <w:tcW w:w="3226" w:type="pct"/>
            <w:shd w:val="clear" w:color="auto" w:fill="CCFFFF"/>
            <w:vAlign w:val="center"/>
          </w:tcPr>
          <w:p w:rsidR="00085BE1" w:rsidRPr="00A357E0" w:rsidRDefault="00085BE1" w:rsidP="00252DE6">
            <w:pPr>
              <w:spacing w:before="60" w:after="60"/>
            </w:pPr>
            <w:r w:rsidRPr="00A357E0">
              <w:t>Amendments to</w:t>
            </w:r>
            <w:r w:rsidR="00252DE6">
              <w:t xml:space="preserve"> reflect extension of the </w:t>
            </w:r>
            <w:r w:rsidRPr="00A357E0">
              <w:t xml:space="preserve">jobactive Deed to </w:t>
            </w:r>
            <w:r w:rsidR="00252DE6">
              <w:t xml:space="preserve">30 June </w:t>
            </w:r>
            <w:r w:rsidRPr="00A357E0">
              <w:t>2022.</w:t>
            </w:r>
          </w:p>
        </w:tc>
      </w:tr>
      <w:tr w:rsidR="00666277" w:rsidRPr="00A357E0" w:rsidTr="00666277">
        <w:trPr>
          <w:trHeight w:val="50"/>
        </w:trPr>
        <w:tc>
          <w:tcPr>
            <w:tcW w:w="649" w:type="pct"/>
            <w:vMerge/>
            <w:shd w:val="clear" w:color="auto" w:fill="CCFFFF"/>
          </w:tcPr>
          <w:p w:rsidR="00D77FD0" w:rsidRPr="00A357E0" w:rsidRDefault="00D77FD0" w:rsidP="00A357E0">
            <w:pPr>
              <w:spacing w:before="60" w:after="60"/>
              <w:jc w:val="center"/>
            </w:pPr>
          </w:p>
        </w:tc>
        <w:tc>
          <w:tcPr>
            <w:tcW w:w="1125" w:type="pct"/>
            <w:shd w:val="clear" w:color="auto" w:fill="CCFFFF"/>
            <w:vAlign w:val="center"/>
          </w:tcPr>
          <w:p w:rsidR="00D77FD0" w:rsidRPr="00A357E0" w:rsidRDefault="00D77FD0" w:rsidP="00A357E0">
            <w:pPr>
              <w:spacing w:before="60" w:after="60"/>
              <w:jc w:val="center"/>
            </w:pPr>
            <w:r w:rsidRPr="00A357E0">
              <w:t xml:space="preserve">Term of the Deed </w:t>
            </w:r>
            <w:r w:rsidRPr="00A357E0">
              <w:br/>
              <w:t>(Deed title and clause 1.1)</w:t>
            </w:r>
          </w:p>
        </w:tc>
        <w:tc>
          <w:tcPr>
            <w:tcW w:w="3226" w:type="pct"/>
            <w:shd w:val="clear" w:color="auto" w:fill="CCFFFF"/>
            <w:vAlign w:val="center"/>
          </w:tcPr>
          <w:p w:rsidR="00D77FD0" w:rsidRPr="00A357E0" w:rsidRDefault="00D77FD0" w:rsidP="00252DE6">
            <w:pPr>
              <w:spacing w:before="60" w:after="60"/>
            </w:pPr>
            <w:r w:rsidRPr="00A357E0">
              <w:t xml:space="preserve">Amendments to </w:t>
            </w:r>
            <w:r w:rsidR="00252DE6">
              <w:t xml:space="preserve">reflect extension of the </w:t>
            </w:r>
            <w:r w:rsidRPr="00A357E0">
              <w:t>Term to 30 June 2022.</w:t>
            </w:r>
          </w:p>
        </w:tc>
      </w:tr>
      <w:tr w:rsidR="00A357E0" w:rsidRPr="00A357E0" w:rsidTr="00666277">
        <w:tc>
          <w:tcPr>
            <w:tcW w:w="649" w:type="pct"/>
            <w:vMerge/>
            <w:shd w:val="clear" w:color="auto" w:fill="CCFFFF"/>
          </w:tcPr>
          <w:p w:rsidR="00085BE1" w:rsidRPr="00A357E0" w:rsidRDefault="00085BE1" w:rsidP="00A357E0">
            <w:pPr>
              <w:spacing w:before="60" w:after="60"/>
              <w:jc w:val="center"/>
            </w:pPr>
          </w:p>
        </w:tc>
        <w:tc>
          <w:tcPr>
            <w:tcW w:w="1125" w:type="pct"/>
            <w:shd w:val="clear" w:color="auto" w:fill="CCFFFF"/>
            <w:vAlign w:val="center"/>
          </w:tcPr>
          <w:p w:rsidR="00085BE1" w:rsidRPr="00A357E0" w:rsidRDefault="00462C4B" w:rsidP="00A357E0">
            <w:pPr>
              <w:spacing w:before="60" w:after="60"/>
              <w:jc w:val="center"/>
            </w:pPr>
            <w:r w:rsidRPr="00A357E0">
              <w:t xml:space="preserve">The Department may vary certain terms </w:t>
            </w:r>
            <w:r w:rsidRPr="00A357E0">
              <w:br/>
              <w:t>(</w:t>
            </w:r>
            <w:r w:rsidR="00085BE1" w:rsidRPr="00A357E0">
              <w:t>Clause 8</w:t>
            </w:r>
            <w:r w:rsidRPr="00A357E0">
              <w:t>)</w:t>
            </w:r>
          </w:p>
        </w:tc>
        <w:tc>
          <w:tcPr>
            <w:tcW w:w="3226" w:type="pct"/>
            <w:shd w:val="clear" w:color="auto" w:fill="CCFFFF"/>
            <w:vAlign w:val="center"/>
          </w:tcPr>
          <w:p w:rsidR="00085BE1" w:rsidRPr="00A357E0" w:rsidRDefault="00085BE1" w:rsidP="00A357E0">
            <w:pPr>
              <w:spacing w:before="60" w:after="60"/>
            </w:pPr>
            <w:r w:rsidRPr="00A357E0">
              <w:t>New clauses outlining that any recoverable amounts will be deemed to be a debt to the Department.</w:t>
            </w:r>
          </w:p>
        </w:tc>
      </w:tr>
      <w:tr w:rsidR="00666277" w:rsidRPr="00A357E0" w:rsidTr="00666277">
        <w:trPr>
          <w:trHeight w:val="50"/>
        </w:trPr>
        <w:tc>
          <w:tcPr>
            <w:tcW w:w="649" w:type="pct"/>
            <w:vMerge/>
            <w:shd w:val="clear" w:color="auto" w:fill="CCFFFF"/>
          </w:tcPr>
          <w:p w:rsidR="00014126" w:rsidRPr="00A357E0" w:rsidRDefault="00014126" w:rsidP="00A357E0">
            <w:pPr>
              <w:spacing w:before="60" w:after="60"/>
              <w:jc w:val="center"/>
            </w:pPr>
          </w:p>
        </w:tc>
        <w:tc>
          <w:tcPr>
            <w:tcW w:w="1125" w:type="pct"/>
            <w:shd w:val="clear" w:color="auto" w:fill="CCFFFF"/>
            <w:vAlign w:val="center"/>
          </w:tcPr>
          <w:p w:rsidR="00014126" w:rsidRPr="00A357E0" w:rsidRDefault="00014126" w:rsidP="00A357E0">
            <w:pPr>
              <w:spacing w:before="60" w:after="60"/>
              <w:jc w:val="center"/>
            </w:pPr>
            <w:r w:rsidRPr="00A357E0">
              <w:t xml:space="preserve">Service Delivery Plan </w:t>
            </w:r>
            <w:r w:rsidRPr="00A357E0">
              <w:br/>
              <w:t>(Clause 13)</w:t>
            </w:r>
          </w:p>
        </w:tc>
        <w:tc>
          <w:tcPr>
            <w:tcW w:w="3226" w:type="pct"/>
            <w:shd w:val="clear" w:color="auto" w:fill="CCFFFF"/>
            <w:vAlign w:val="center"/>
          </w:tcPr>
          <w:p w:rsidR="00014126" w:rsidRPr="00A357E0" w:rsidRDefault="00014126" w:rsidP="00A357E0">
            <w:pPr>
              <w:spacing w:before="60" w:after="60"/>
            </w:pPr>
            <w:r w:rsidRPr="00A357E0">
              <w:t xml:space="preserve">New clauses to provide for the fact that the Department may require the CTA Provider to update the Service Delivery from time to time. </w:t>
            </w:r>
          </w:p>
        </w:tc>
      </w:tr>
      <w:tr w:rsidR="00A357E0" w:rsidRPr="00A357E0" w:rsidTr="00666277">
        <w:tc>
          <w:tcPr>
            <w:tcW w:w="649" w:type="pct"/>
            <w:vMerge/>
            <w:shd w:val="clear" w:color="auto" w:fill="CCFFFF"/>
          </w:tcPr>
          <w:p w:rsidR="00085BE1" w:rsidRPr="00A357E0" w:rsidRDefault="00085BE1" w:rsidP="00A357E0">
            <w:pPr>
              <w:spacing w:before="60" w:after="60"/>
              <w:jc w:val="center"/>
            </w:pPr>
          </w:p>
        </w:tc>
        <w:tc>
          <w:tcPr>
            <w:tcW w:w="1125" w:type="pct"/>
            <w:shd w:val="clear" w:color="auto" w:fill="CCFFFF"/>
            <w:vAlign w:val="center"/>
          </w:tcPr>
          <w:p w:rsidR="00085BE1" w:rsidRPr="00A357E0" w:rsidRDefault="00B471D8" w:rsidP="00A357E0">
            <w:pPr>
              <w:spacing w:before="60" w:after="60"/>
              <w:jc w:val="center"/>
            </w:pPr>
            <w:r w:rsidRPr="00A357E0">
              <w:t xml:space="preserve">Costs </w:t>
            </w:r>
            <w:r w:rsidRPr="00A357E0">
              <w:br/>
              <w:t>(</w:t>
            </w:r>
            <w:r w:rsidR="00085BE1" w:rsidRPr="00A357E0">
              <w:t>Clauses 19.1 and 19.4(c)</w:t>
            </w:r>
            <w:r w:rsidRPr="00A357E0">
              <w:t>)</w:t>
            </w:r>
          </w:p>
        </w:tc>
        <w:tc>
          <w:tcPr>
            <w:tcW w:w="3226" w:type="pct"/>
            <w:shd w:val="clear" w:color="auto" w:fill="CCFFFF"/>
            <w:vAlign w:val="center"/>
          </w:tcPr>
          <w:p w:rsidR="00085BE1" w:rsidRPr="00A357E0" w:rsidRDefault="00085BE1" w:rsidP="00A357E0">
            <w:pPr>
              <w:spacing w:before="60" w:after="60"/>
            </w:pPr>
            <w:r w:rsidRPr="00A357E0">
              <w:t xml:space="preserve">Amendments to clarify that the CTA Provider is fully responsible for the performance of the Services, for ensuring compliance with the requirements of the Deed and for all costs in meeting its obligations. </w:t>
            </w:r>
          </w:p>
          <w:p w:rsidR="00085BE1" w:rsidRPr="00A357E0" w:rsidRDefault="00085BE1" w:rsidP="00A357E0">
            <w:pPr>
              <w:spacing w:before="60" w:after="60"/>
            </w:pPr>
            <w:r w:rsidRPr="00A357E0">
              <w:t>Amendments to provide that the Department is not liable for any loss, damage, cost or expensive incurred by the CTA Provider if the Department requests the removal of Personnel under clause 19.1</w:t>
            </w:r>
          </w:p>
        </w:tc>
      </w:tr>
      <w:tr w:rsidR="00A357E0" w:rsidRPr="00A357E0" w:rsidTr="00666277">
        <w:tc>
          <w:tcPr>
            <w:tcW w:w="649" w:type="pct"/>
            <w:vMerge/>
            <w:shd w:val="clear" w:color="auto" w:fill="CCFFFF"/>
          </w:tcPr>
          <w:p w:rsidR="00085BE1" w:rsidRPr="00A357E0" w:rsidRDefault="00085BE1" w:rsidP="00A357E0">
            <w:pPr>
              <w:spacing w:before="60" w:after="60"/>
              <w:jc w:val="center"/>
            </w:pPr>
          </w:p>
        </w:tc>
        <w:tc>
          <w:tcPr>
            <w:tcW w:w="1125" w:type="pct"/>
            <w:shd w:val="clear" w:color="auto" w:fill="CCFFFF"/>
            <w:vAlign w:val="center"/>
          </w:tcPr>
          <w:p w:rsidR="00085BE1" w:rsidRPr="00A357E0" w:rsidRDefault="00B471D8" w:rsidP="00A357E0">
            <w:pPr>
              <w:spacing w:before="60" w:after="60"/>
              <w:jc w:val="center"/>
            </w:pPr>
            <w:r w:rsidRPr="00A357E0">
              <w:t>Intellectual Property</w:t>
            </w:r>
            <w:r w:rsidRPr="00A357E0">
              <w:br/>
              <w:t>(</w:t>
            </w:r>
            <w:r w:rsidR="00085BE1" w:rsidRPr="00A357E0">
              <w:t>Clause 31.2</w:t>
            </w:r>
            <w:r w:rsidRPr="00A357E0">
              <w:t>)</w:t>
            </w:r>
          </w:p>
        </w:tc>
        <w:tc>
          <w:tcPr>
            <w:tcW w:w="3226" w:type="pct"/>
            <w:shd w:val="clear" w:color="auto" w:fill="CCFFFF"/>
            <w:vAlign w:val="center"/>
          </w:tcPr>
          <w:p w:rsidR="00085BE1" w:rsidRPr="00A357E0" w:rsidRDefault="00085BE1" w:rsidP="00A357E0">
            <w:pPr>
              <w:spacing w:before="60" w:after="60"/>
            </w:pPr>
            <w:r w:rsidRPr="00A357E0">
              <w:t>Amendments to specify that the Department grants a royalty-free, revocable, non-exclusive licence for the CTA Provider to use, copy and reproduce the Commonwealth Material within Australia for the Term of the Deed and the purposes of the Deed, subject to clause 36.3.</w:t>
            </w:r>
          </w:p>
        </w:tc>
      </w:tr>
      <w:tr w:rsidR="00A357E0" w:rsidRPr="00A357E0" w:rsidTr="00666277">
        <w:tc>
          <w:tcPr>
            <w:tcW w:w="649" w:type="pct"/>
            <w:vMerge/>
            <w:shd w:val="clear" w:color="auto" w:fill="CCFFFF"/>
          </w:tcPr>
          <w:p w:rsidR="00085BE1" w:rsidRPr="00A357E0" w:rsidRDefault="00085BE1" w:rsidP="00A357E0">
            <w:pPr>
              <w:spacing w:before="60" w:after="60"/>
              <w:jc w:val="center"/>
            </w:pPr>
          </w:p>
        </w:tc>
        <w:tc>
          <w:tcPr>
            <w:tcW w:w="1125" w:type="pct"/>
            <w:shd w:val="clear" w:color="auto" w:fill="CCFFFF"/>
            <w:vAlign w:val="center"/>
          </w:tcPr>
          <w:p w:rsidR="00085BE1" w:rsidRPr="00A357E0" w:rsidRDefault="00B471D8" w:rsidP="00A357E0">
            <w:pPr>
              <w:spacing w:before="60" w:after="60"/>
              <w:jc w:val="center"/>
            </w:pPr>
            <w:r w:rsidRPr="00A357E0">
              <w:t xml:space="preserve">External administration </w:t>
            </w:r>
            <w:r w:rsidRPr="00A357E0">
              <w:br/>
              <w:t>(</w:t>
            </w:r>
            <w:r w:rsidR="00085BE1" w:rsidRPr="00A357E0">
              <w:t>Clause 34.2</w:t>
            </w:r>
            <w:r w:rsidRPr="00A357E0">
              <w:t>)</w:t>
            </w:r>
          </w:p>
        </w:tc>
        <w:tc>
          <w:tcPr>
            <w:tcW w:w="3226" w:type="pct"/>
            <w:shd w:val="clear" w:color="auto" w:fill="CCFFFF"/>
            <w:vAlign w:val="center"/>
          </w:tcPr>
          <w:p w:rsidR="00085BE1" w:rsidRPr="00A357E0" w:rsidRDefault="00085BE1" w:rsidP="00A357E0">
            <w:pPr>
              <w:spacing w:before="60" w:after="60"/>
            </w:pPr>
            <w:r w:rsidRPr="00A357E0">
              <w:t xml:space="preserve">Amendments to provide that the CTA Provider must give Notice to the Department and to any Employment Provider with which it has a CTA Agreement, if an event as specified in clause 40.2 happens. </w:t>
            </w:r>
          </w:p>
        </w:tc>
      </w:tr>
      <w:tr w:rsidR="00A357E0" w:rsidRPr="00A357E0" w:rsidTr="00666277">
        <w:tc>
          <w:tcPr>
            <w:tcW w:w="649" w:type="pct"/>
            <w:vMerge/>
            <w:shd w:val="clear" w:color="auto" w:fill="CCFFFF"/>
          </w:tcPr>
          <w:p w:rsidR="00085BE1" w:rsidRPr="00A357E0" w:rsidRDefault="00085BE1" w:rsidP="00A357E0">
            <w:pPr>
              <w:spacing w:before="60" w:after="60"/>
              <w:jc w:val="center"/>
            </w:pPr>
          </w:p>
        </w:tc>
        <w:tc>
          <w:tcPr>
            <w:tcW w:w="1125" w:type="pct"/>
            <w:shd w:val="clear" w:color="auto" w:fill="CCFFFF"/>
            <w:vAlign w:val="center"/>
          </w:tcPr>
          <w:p w:rsidR="00085BE1" w:rsidRPr="00A357E0" w:rsidRDefault="00B471D8" w:rsidP="00A357E0">
            <w:pPr>
              <w:spacing w:before="60" w:after="60"/>
              <w:jc w:val="center"/>
            </w:pPr>
            <w:r w:rsidRPr="00A357E0">
              <w:t>Termination and reduction (</w:t>
            </w:r>
            <w:r w:rsidR="00085BE1" w:rsidRPr="00A357E0">
              <w:t>Clause 39</w:t>
            </w:r>
            <w:r w:rsidRPr="00A357E0">
              <w:t>)</w:t>
            </w:r>
          </w:p>
        </w:tc>
        <w:tc>
          <w:tcPr>
            <w:tcW w:w="3226" w:type="pct"/>
            <w:shd w:val="clear" w:color="auto" w:fill="CCFFFF"/>
            <w:vAlign w:val="center"/>
          </w:tcPr>
          <w:p w:rsidR="00085BE1" w:rsidRPr="00A357E0" w:rsidRDefault="00085BE1" w:rsidP="00A357E0">
            <w:pPr>
              <w:spacing w:before="60" w:after="60"/>
            </w:pPr>
            <w:r w:rsidRPr="00A357E0">
              <w:t>Amendments relating to termination for convenience and the consequences thereof. Further amendments to clauses concerning when the Department can terminate for default.</w:t>
            </w:r>
          </w:p>
        </w:tc>
      </w:tr>
      <w:tr w:rsidR="00666277" w:rsidRPr="00A357E0" w:rsidTr="00666277">
        <w:trPr>
          <w:trHeight w:val="50"/>
        </w:trPr>
        <w:tc>
          <w:tcPr>
            <w:tcW w:w="649" w:type="pct"/>
            <w:vMerge/>
            <w:shd w:val="clear" w:color="auto" w:fill="CCFFFF"/>
          </w:tcPr>
          <w:p w:rsidR="00014126" w:rsidRPr="00A357E0" w:rsidRDefault="00014126" w:rsidP="00A357E0">
            <w:pPr>
              <w:spacing w:before="60" w:after="60"/>
              <w:jc w:val="center"/>
            </w:pPr>
          </w:p>
        </w:tc>
        <w:tc>
          <w:tcPr>
            <w:tcW w:w="1125" w:type="pct"/>
            <w:shd w:val="clear" w:color="auto" w:fill="CCFFFF"/>
            <w:vAlign w:val="center"/>
          </w:tcPr>
          <w:p w:rsidR="00014126" w:rsidRPr="00A357E0" w:rsidRDefault="00014126" w:rsidP="00A357E0">
            <w:pPr>
              <w:spacing w:before="60" w:after="60"/>
              <w:jc w:val="center"/>
            </w:pPr>
            <w:r w:rsidRPr="00A357E0">
              <w:t>Deed and Business Details</w:t>
            </w:r>
            <w:r w:rsidRPr="00A357E0">
              <w:br/>
              <w:t>(Schedule 1)</w:t>
            </w:r>
          </w:p>
        </w:tc>
        <w:tc>
          <w:tcPr>
            <w:tcW w:w="3226" w:type="pct"/>
            <w:shd w:val="clear" w:color="auto" w:fill="CCFFFF"/>
            <w:vAlign w:val="center"/>
          </w:tcPr>
          <w:p w:rsidR="00014126" w:rsidRPr="00A357E0" w:rsidRDefault="00014126" w:rsidP="00A357E0">
            <w:pPr>
              <w:spacing w:before="60" w:after="60"/>
            </w:pPr>
            <w:r w:rsidRPr="00A357E0">
              <w:t>Amended to reflect changes made to the Deed (</w:t>
            </w:r>
            <w:proofErr w:type="spellStart"/>
            <w:r w:rsidRPr="00A357E0">
              <w:t>eg</w:t>
            </w:r>
            <w:proofErr w:type="spellEnd"/>
            <w:r w:rsidRPr="00A357E0">
              <w:t xml:space="preserve"> the requirement to specify a bank account number).</w:t>
            </w:r>
          </w:p>
        </w:tc>
      </w:tr>
    </w:tbl>
    <w:p w:rsidR="0022722E" w:rsidRDefault="0022722E" w:rsidP="00666277">
      <w:pPr>
        <w:spacing w:before="120" w:after="120"/>
        <w:rPr>
          <w:b/>
          <w:sz w:val="18"/>
          <w:szCs w:val="18"/>
        </w:rPr>
      </w:pPr>
    </w:p>
    <w:sectPr w:rsidR="0022722E" w:rsidSect="00666277">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624" w:right="624" w:bottom="624" w:left="454" w:header="567" w:footer="4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4E5" w:rsidRDefault="008524E5" w:rsidP="009F2818">
      <w:r>
        <w:separator/>
      </w:r>
    </w:p>
  </w:endnote>
  <w:endnote w:type="continuationSeparator" w:id="0">
    <w:p w:rsidR="008524E5" w:rsidRDefault="008524E5" w:rsidP="009F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6A8" w:rsidRDefault="000B06A8">
    <w:pPr>
      <w:pStyle w:val="Footer"/>
    </w:pPr>
  </w:p>
  <w:p w:rsidR="000B06A8" w:rsidRPr="00E00229" w:rsidRDefault="000B06A8">
    <w:pPr>
      <w:pStyle w:val="Footer"/>
      <w:rPr>
        <w:rFonts w:cs="Arial"/>
        <w:sz w:val="14"/>
      </w:rPr>
    </w:pPr>
    <w:r w:rsidRPr="0053657B">
      <w:rPr>
        <w:rFonts w:cs="Arial"/>
        <w:sz w:val="14"/>
      </w:rPr>
      <w:t>[7658917: 24339466_1]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6A8" w:rsidRDefault="00666277" w:rsidP="001B100D">
    <w:pPr>
      <w:pStyle w:val="pageNumber"/>
      <w:jc w:val="center"/>
    </w:pPr>
    <w:r>
      <w:t>P</w:t>
    </w:r>
    <w:r w:rsidR="000B06A8">
      <w:t xml:space="preserve">age </w:t>
    </w:r>
    <w:r w:rsidR="000B06A8">
      <w:fldChar w:fldCharType="begin"/>
    </w:r>
    <w:r w:rsidR="000B06A8">
      <w:instrText xml:space="preserve"> page </w:instrText>
    </w:r>
    <w:r w:rsidR="000B06A8">
      <w:fldChar w:fldCharType="separate"/>
    </w:r>
    <w:r w:rsidR="000B2821">
      <w:rPr>
        <w:noProof/>
      </w:rPr>
      <w:t>2</w:t>
    </w:r>
    <w:r w:rsidR="000B06A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6A8" w:rsidRDefault="000B06A8">
    <w:pPr>
      <w:pStyle w:val="Footer"/>
    </w:pPr>
  </w:p>
  <w:p w:rsidR="000B06A8" w:rsidRPr="00424297" w:rsidRDefault="000B06A8" w:rsidP="00424297">
    <w:pPr>
      <w:pStyle w:val="pageNumber"/>
    </w:pPr>
    <w:r>
      <w:t>[7658917: 24339466_1]</w:t>
    </w:r>
    <w:r>
      <w:tab/>
    </w:r>
    <w:r>
      <w:tab/>
    </w:r>
    <w:r>
      <w:tab/>
      <w:t xml:space="preserve">page </w:t>
    </w:r>
    <w:r>
      <w:fldChar w:fldCharType="begin"/>
    </w:r>
    <w:r>
      <w:instrText xml:space="preserve"> page </w:instrText>
    </w:r>
    <w:r>
      <w:fldChar w:fldCharType="separate"/>
    </w:r>
    <w:r w:rsidR="000B282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4E5" w:rsidRDefault="008524E5" w:rsidP="009F2818">
      <w:r>
        <w:separator/>
      </w:r>
    </w:p>
  </w:footnote>
  <w:footnote w:type="continuationSeparator" w:id="0">
    <w:p w:rsidR="008524E5" w:rsidRDefault="008524E5" w:rsidP="009F2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821" w:rsidRDefault="000B28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821" w:rsidRDefault="000B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821" w:rsidRDefault="000B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D5C9C4C"/>
    <w:lvl w:ilvl="0">
      <w:start w:val="1"/>
      <w:numFmt w:val="decimal"/>
      <w:pStyle w:val="Heading1"/>
      <w:lvlText w:val="%1."/>
      <w:lvlJc w:val="left"/>
      <w:pPr>
        <w:ind w:left="851" w:hanging="851"/>
      </w:pPr>
      <w:rPr>
        <w:rFonts w:hint="default"/>
        <w:sz w:val="22"/>
        <w:szCs w:val="22"/>
      </w:rPr>
    </w:lvl>
    <w:lvl w:ilvl="1">
      <w:start w:val="1"/>
      <w:numFmt w:val="decimal"/>
      <w:pStyle w:val="Heading2"/>
      <w:lvlText w:val="%1.%2"/>
      <w:lvlJc w:val="left"/>
      <w:pPr>
        <w:ind w:left="851" w:hanging="851"/>
      </w:pPr>
      <w:rPr>
        <w:rFonts w:hint="default"/>
        <w:sz w:val="20"/>
        <w:szCs w:val="20"/>
      </w:rPr>
    </w:lvl>
    <w:lvl w:ilvl="2">
      <w:start w:val="1"/>
      <w:numFmt w:val="decimal"/>
      <w:pStyle w:val="Heading3"/>
      <w:lvlText w:val="%1.%2.%3"/>
      <w:lvlJc w:val="left"/>
      <w:pPr>
        <w:ind w:left="1701" w:hanging="850"/>
      </w:pPr>
      <w:rPr>
        <w:rFonts w:ascii="Arial" w:hAnsi="Arial" w:hint="default"/>
        <w:b w:val="0"/>
        <w:i w:val="0"/>
        <w:sz w:val="20"/>
        <w:szCs w:val="20"/>
      </w:rPr>
    </w:lvl>
    <w:lvl w:ilvl="3">
      <w:start w:val="1"/>
      <w:numFmt w:val="lowerLetter"/>
      <w:pStyle w:val="Heading4"/>
      <w:lvlText w:val="(%4)"/>
      <w:lvlJc w:val="left"/>
      <w:pPr>
        <w:ind w:left="2268" w:hanging="567"/>
      </w:pPr>
      <w:rPr>
        <w:rFonts w:ascii="Arial" w:hAnsi="Arial" w:hint="default"/>
        <w:b w:val="0"/>
        <w:i w:val="0"/>
        <w:sz w:val="20"/>
        <w:szCs w:val="20"/>
      </w:rPr>
    </w:lvl>
    <w:lvl w:ilvl="4">
      <w:start w:val="1"/>
      <w:numFmt w:val="lowerRoman"/>
      <w:pStyle w:val="Heading5"/>
      <w:lvlText w:val="(%5)"/>
      <w:lvlJc w:val="left"/>
      <w:pPr>
        <w:tabs>
          <w:tab w:val="num" w:pos="2835"/>
        </w:tabs>
        <w:ind w:left="2835" w:hanging="567"/>
      </w:pPr>
      <w:rPr>
        <w:rFonts w:hint="default"/>
        <w:sz w:val="20"/>
        <w:szCs w:val="2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0CA7633"/>
    <w:multiLevelType w:val="singleLevel"/>
    <w:tmpl w:val="3EC8D128"/>
    <w:lvl w:ilvl="0">
      <w:start w:val="1"/>
      <w:numFmt w:val="bullet"/>
      <w:lvlText w:val=""/>
      <w:lvlJc w:val="left"/>
      <w:pPr>
        <w:tabs>
          <w:tab w:val="num" w:pos="2268"/>
        </w:tabs>
        <w:ind w:left="2268" w:hanging="567"/>
      </w:pPr>
      <w:rPr>
        <w:rFonts w:ascii="Wingdings" w:hAnsi="Wingdings" w:cs="Wingdings" w:hint="default"/>
        <w:sz w:val="20"/>
        <w:szCs w:val="20"/>
      </w:rPr>
    </w:lvl>
  </w:abstractNum>
  <w:abstractNum w:abstractNumId="2" w15:restartNumberingAfterBreak="0">
    <w:nsid w:val="02245648"/>
    <w:multiLevelType w:val="multilevel"/>
    <w:tmpl w:val="CB1CACD4"/>
    <w:name w:val="MaddNumpara"/>
    <w:lvl w:ilvl="0">
      <w:start w:val="1"/>
      <w:numFmt w:val="decimal"/>
      <w:pStyle w:val="Numpara1"/>
      <w:lvlText w:val="%1."/>
      <w:lvlJc w:val="left"/>
      <w:pPr>
        <w:ind w:left="851" w:hanging="851"/>
      </w:pPr>
      <w:rPr>
        <w:rFonts w:hint="default"/>
        <w:sz w:val="20"/>
        <w:szCs w:val="20"/>
      </w:rPr>
    </w:lvl>
    <w:lvl w:ilvl="1">
      <w:start w:val="1"/>
      <w:numFmt w:val="decimal"/>
      <w:pStyle w:val="Numpara2"/>
      <w:lvlText w:val="%1.%2"/>
      <w:lvlJc w:val="left"/>
      <w:pPr>
        <w:ind w:left="851" w:hanging="851"/>
      </w:pPr>
      <w:rPr>
        <w:rFonts w:hint="default"/>
        <w:sz w:val="20"/>
        <w:szCs w:val="20"/>
      </w:rPr>
    </w:lvl>
    <w:lvl w:ilvl="2">
      <w:start w:val="1"/>
      <w:numFmt w:val="decimal"/>
      <w:pStyle w:val="Numpara3"/>
      <w:lvlText w:val="%1.%2.%3"/>
      <w:lvlJc w:val="left"/>
      <w:pPr>
        <w:ind w:left="1701" w:hanging="850"/>
      </w:pPr>
      <w:rPr>
        <w:rFonts w:hint="default"/>
        <w:sz w:val="20"/>
        <w:szCs w:val="20"/>
      </w:rPr>
    </w:lvl>
    <w:lvl w:ilvl="3">
      <w:start w:val="1"/>
      <w:numFmt w:val="lowerLetter"/>
      <w:pStyle w:val="Numpara4"/>
      <w:lvlText w:val="(%4)"/>
      <w:lvlJc w:val="left"/>
      <w:pPr>
        <w:ind w:left="2268" w:hanging="567"/>
      </w:pPr>
      <w:rPr>
        <w:rFonts w:hint="default"/>
        <w:sz w:val="20"/>
        <w:szCs w:val="20"/>
      </w:rPr>
    </w:lvl>
    <w:lvl w:ilvl="4">
      <w:start w:val="1"/>
      <w:numFmt w:val="lowerRoman"/>
      <w:lvlText w:val="(%5)"/>
      <w:lvlJc w:val="left"/>
      <w:pPr>
        <w:tabs>
          <w:tab w:val="num" w:pos="2835"/>
        </w:tabs>
        <w:ind w:left="2835" w:hanging="567"/>
      </w:pPr>
      <w:rPr>
        <w:rFonts w:hint="default"/>
        <w:sz w:val="20"/>
        <w:szCs w:val="20"/>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744" w:firstLine="29025"/>
      </w:pPr>
      <w:rPr>
        <w:rFonts w:hint="default"/>
      </w:rPr>
    </w:lvl>
    <w:lvl w:ilvl="8">
      <w:start w:val="1"/>
      <w:numFmt w:val="none"/>
      <w:lvlText w:val=""/>
      <w:lvlJc w:val="left"/>
      <w:pPr>
        <w:tabs>
          <w:tab w:val="num" w:pos="-31680"/>
        </w:tabs>
        <w:ind w:left="-32767" w:firstLine="32767"/>
      </w:pPr>
      <w:rPr>
        <w:rFonts w:hint="default"/>
      </w:rPr>
    </w:lvl>
  </w:abstractNum>
  <w:abstractNum w:abstractNumId="3" w15:restartNumberingAfterBreak="0">
    <w:nsid w:val="04764198"/>
    <w:multiLevelType w:val="multilevel"/>
    <w:tmpl w:val="0AEE8D64"/>
    <w:lvl w:ilvl="0">
      <w:start w:val="1"/>
      <w:numFmt w:val="decimal"/>
      <w:pStyle w:val="legalPart"/>
      <w:lvlText w:val="Part %1"/>
      <w:lvlJc w:val="left"/>
      <w:pPr>
        <w:tabs>
          <w:tab w:val="num" w:pos="1701"/>
        </w:tabs>
        <w:ind w:left="1701" w:hanging="1701"/>
      </w:pPr>
      <w:rPr>
        <w:rFonts w:ascii="Arial" w:hAnsi="Arial" w:cs="Times New Roman" w:hint="default"/>
        <w:b/>
        <w:i w:val="0"/>
        <w:color w:val="82002A"/>
        <w:sz w:val="22"/>
      </w:rPr>
    </w:lvl>
    <w:lvl w:ilvl="1">
      <w:start w:val="1"/>
      <w:numFmt w:val="none"/>
      <w:lvlText w:val=""/>
      <w:lvlJc w:val="left"/>
      <w:pPr>
        <w:ind w:left="720" w:hanging="360"/>
      </w:pPr>
      <w:rPr>
        <w:rFonts w:cs="Times New Roman" w:hint="default"/>
      </w:rPr>
    </w:lvl>
    <w:lvl w:ilvl="2">
      <w:start w:val="1"/>
      <w:numFmt w:val="none"/>
      <w:lvlText w:val=""/>
      <w:lvlJc w:val="left"/>
      <w:pPr>
        <w:ind w:left="1080" w:hanging="360"/>
      </w:pPr>
      <w:rPr>
        <w:rFonts w:cs="Times New Roman" w:hint="default"/>
      </w:rPr>
    </w:lvl>
    <w:lvl w:ilvl="3">
      <w:start w:val="1"/>
      <w:numFmt w:val="none"/>
      <w:lvlText w:val=""/>
      <w:lvlJc w:val="left"/>
      <w:pPr>
        <w:ind w:left="1440" w:hanging="360"/>
      </w:pPr>
      <w:rPr>
        <w:rFonts w:cs="Times New Roman" w:hint="default"/>
      </w:rPr>
    </w:lvl>
    <w:lvl w:ilvl="4">
      <w:start w:val="1"/>
      <w:numFmt w:val="none"/>
      <w:lvlText w:val=""/>
      <w:lvlJc w:val="left"/>
      <w:pPr>
        <w:ind w:left="1800" w:hanging="360"/>
      </w:pPr>
      <w:rPr>
        <w:rFonts w:cs="Times New Roman" w:hint="default"/>
      </w:rPr>
    </w:lvl>
    <w:lvl w:ilvl="5">
      <w:start w:val="1"/>
      <w:numFmt w:val="none"/>
      <w:lvlText w:val=""/>
      <w:lvlJc w:val="left"/>
      <w:pPr>
        <w:ind w:left="2160" w:hanging="360"/>
      </w:pPr>
      <w:rPr>
        <w:rFonts w:cs="Times New Roman" w:hint="default"/>
      </w:rPr>
    </w:lvl>
    <w:lvl w:ilvl="6">
      <w:start w:val="1"/>
      <w:numFmt w:val="none"/>
      <w:lvlText w:val=""/>
      <w:lvlJc w:val="left"/>
      <w:pPr>
        <w:ind w:left="2520" w:hanging="360"/>
      </w:pPr>
      <w:rPr>
        <w:rFonts w:cs="Times New Roman" w:hint="default"/>
      </w:rPr>
    </w:lvl>
    <w:lvl w:ilvl="7">
      <w:start w:val="1"/>
      <w:numFmt w:val="none"/>
      <w:lvlText w:val=""/>
      <w:lvlJc w:val="left"/>
      <w:pPr>
        <w:ind w:left="2880" w:hanging="360"/>
      </w:pPr>
      <w:rPr>
        <w:rFonts w:cs="Times New Roman" w:hint="default"/>
      </w:rPr>
    </w:lvl>
    <w:lvl w:ilvl="8">
      <w:start w:val="1"/>
      <w:numFmt w:val="none"/>
      <w:lvlText w:val=""/>
      <w:lvlJc w:val="left"/>
      <w:pPr>
        <w:ind w:left="3240" w:hanging="360"/>
      </w:pPr>
      <w:rPr>
        <w:rFonts w:cs="Times New Roman" w:hint="default"/>
      </w:rPr>
    </w:lvl>
  </w:abstractNum>
  <w:abstractNum w:abstractNumId="4" w15:restartNumberingAfterBreak="0">
    <w:nsid w:val="04BF4A0F"/>
    <w:multiLevelType w:val="multilevel"/>
    <w:tmpl w:val="1DFCD470"/>
    <w:lvl w:ilvl="0">
      <w:start w:val="1"/>
      <w:numFmt w:val="bullet"/>
      <w:pStyle w:val="Bullet2"/>
      <w:lvlText w:val=""/>
      <w:lvlJc w:val="left"/>
      <w:pPr>
        <w:ind w:left="1701" w:hanging="85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F24525"/>
    <w:multiLevelType w:val="hybridMultilevel"/>
    <w:tmpl w:val="BCD858DC"/>
    <w:lvl w:ilvl="0" w:tplc="064C041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F183487"/>
    <w:multiLevelType w:val="multilevel"/>
    <w:tmpl w:val="57CEFBC6"/>
    <w:lvl w:ilvl="0">
      <w:start w:val="1"/>
      <w:numFmt w:val="decimal"/>
      <w:pStyle w:val="legalAttachment"/>
      <w:lvlText w:val="Attachment %1"/>
      <w:lvlJc w:val="left"/>
      <w:pPr>
        <w:ind w:left="2552" w:hanging="255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20454B5"/>
    <w:multiLevelType w:val="multilevel"/>
    <w:tmpl w:val="D848CF7A"/>
    <w:lvl w:ilvl="0">
      <w:start w:val="1"/>
      <w:numFmt w:val="upperLetter"/>
      <w:pStyle w:val="legalRecital1"/>
      <w:lvlText w:val="%1."/>
      <w:lvlJc w:val="left"/>
      <w:pPr>
        <w:ind w:left="851" w:hanging="851"/>
      </w:pPr>
      <w:rPr>
        <w:rFonts w:ascii="Arial" w:hAnsi="Arial" w:hint="default"/>
        <w:b w:val="0"/>
        <w:i w:val="0"/>
        <w:sz w:val="20"/>
        <w:szCs w:val="20"/>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2552"/>
        </w:tabs>
        <w:ind w:left="2552" w:hanging="851"/>
      </w:pPr>
      <w:rPr>
        <w:rFonts w:hint="default"/>
      </w:rPr>
    </w:lvl>
    <w:lvl w:ilvl="3">
      <w:start w:val="1"/>
      <w:numFmt w:val="decimal"/>
      <w:lvlText w:val="%1.%2.%3.%4"/>
      <w:lvlJc w:val="left"/>
      <w:pPr>
        <w:tabs>
          <w:tab w:val="num" w:pos="3686"/>
        </w:tabs>
        <w:ind w:left="3686" w:hanging="1134"/>
      </w:pPr>
      <w:rPr>
        <w:rFonts w:hint="default"/>
      </w:rPr>
    </w:lvl>
    <w:lvl w:ilvl="4">
      <w:start w:val="1"/>
      <w:numFmt w:val="decimal"/>
      <w:lvlText w:val="%1.%2.%3.%4.%5"/>
      <w:lvlJc w:val="left"/>
      <w:pPr>
        <w:tabs>
          <w:tab w:val="num" w:pos="4820"/>
        </w:tabs>
        <w:ind w:left="4820" w:hanging="1134"/>
      </w:pPr>
      <w:rPr>
        <w:rFonts w:hint="default"/>
      </w:rPr>
    </w:lvl>
    <w:lvl w:ilvl="5">
      <w:start w:val="1"/>
      <w:numFmt w:val="decimal"/>
      <w:lvlText w:val="%1.%2.%3.%4.%5.%6."/>
      <w:lvlJc w:val="left"/>
      <w:pPr>
        <w:tabs>
          <w:tab w:val="num" w:pos="0"/>
        </w:tabs>
        <w:ind w:left="4532" w:hanging="708"/>
      </w:pPr>
      <w:rPr>
        <w:rFonts w:hint="default"/>
      </w:rPr>
    </w:lvl>
    <w:lvl w:ilvl="6">
      <w:start w:val="1"/>
      <w:numFmt w:val="decimal"/>
      <w:lvlText w:val="%1.%2.%3.%4.%5.%6.%7."/>
      <w:lvlJc w:val="left"/>
      <w:pPr>
        <w:tabs>
          <w:tab w:val="num" w:pos="0"/>
        </w:tabs>
        <w:ind w:left="5240" w:hanging="708"/>
      </w:pPr>
      <w:rPr>
        <w:rFonts w:hint="default"/>
      </w:rPr>
    </w:lvl>
    <w:lvl w:ilvl="7">
      <w:start w:val="1"/>
      <w:numFmt w:val="decimal"/>
      <w:lvlText w:val="%1.%2.%3.%4.%5.%6.%7.%8."/>
      <w:lvlJc w:val="left"/>
      <w:pPr>
        <w:tabs>
          <w:tab w:val="num" w:pos="0"/>
        </w:tabs>
        <w:ind w:left="5948" w:hanging="708"/>
      </w:pPr>
      <w:rPr>
        <w:rFonts w:hint="default"/>
      </w:rPr>
    </w:lvl>
    <w:lvl w:ilvl="8">
      <w:start w:val="1"/>
      <w:numFmt w:val="decimal"/>
      <w:lvlText w:val="%1.%2.%3.%4.%5.%6.%7.%8.%9."/>
      <w:lvlJc w:val="left"/>
      <w:pPr>
        <w:tabs>
          <w:tab w:val="num" w:pos="0"/>
        </w:tabs>
        <w:ind w:left="6656" w:hanging="708"/>
      </w:pPr>
      <w:rPr>
        <w:rFonts w:hint="default"/>
      </w:rPr>
    </w:lvl>
  </w:abstractNum>
  <w:abstractNum w:abstractNumId="8" w15:restartNumberingAfterBreak="0">
    <w:nsid w:val="1A265184"/>
    <w:multiLevelType w:val="multilevel"/>
    <w:tmpl w:val="7562A7FC"/>
    <w:lvl w:ilvl="0">
      <w:start w:val="1"/>
      <w:numFmt w:val="decimal"/>
      <w:pStyle w:val="legalSchedule"/>
      <w:lvlText w:val="Schedule %1"/>
      <w:lvlJc w:val="left"/>
      <w:pPr>
        <w:ind w:left="2552" w:hanging="2552"/>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E3E60C0"/>
    <w:multiLevelType w:val="multilevel"/>
    <w:tmpl w:val="CB1CACD4"/>
    <w:lvl w:ilvl="0">
      <w:start w:val="1"/>
      <w:numFmt w:val="decimal"/>
      <w:lvlText w:val="%1."/>
      <w:lvlJc w:val="left"/>
      <w:pPr>
        <w:ind w:left="851" w:hanging="851"/>
      </w:pPr>
      <w:rPr>
        <w:rFonts w:hint="default"/>
        <w:sz w:val="20"/>
        <w:szCs w:val="20"/>
      </w:rPr>
    </w:lvl>
    <w:lvl w:ilvl="1">
      <w:start w:val="1"/>
      <w:numFmt w:val="decimal"/>
      <w:lvlText w:val="%1.%2"/>
      <w:lvlJc w:val="left"/>
      <w:pPr>
        <w:ind w:left="851" w:hanging="851"/>
      </w:pPr>
      <w:rPr>
        <w:rFonts w:hint="default"/>
        <w:sz w:val="20"/>
        <w:szCs w:val="20"/>
      </w:rPr>
    </w:lvl>
    <w:lvl w:ilvl="2">
      <w:start w:val="1"/>
      <w:numFmt w:val="decimal"/>
      <w:lvlText w:val="%1.%2.%3"/>
      <w:lvlJc w:val="left"/>
      <w:pPr>
        <w:ind w:left="1701" w:hanging="850"/>
      </w:pPr>
      <w:rPr>
        <w:rFonts w:hint="default"/>
        <w:sz w:val="20"/>
        <w:szCs w:val="20"/>
      </w:rPr>
    </w:lvl>
    <w:lvl w:ilvl="3">
      <w:start w:val="1"/>
      <w:numFmt w:val="lowerLetter"/>
      <w:lvlText w:val="(%4)"/>
      <w:lvlJc w:val="left"/>
      <w:pPr>
        <w:ind w:left="2268" w:hanging="567"/>
      </w:pPr>
      <w:rPr>
        <w:rFonts w:hint="default"/>
        <w:sz w:val="20"/>
        <w:szCs w:val="20"/>
      </w:rPr>
    </w:lvl>
    <w:lvl w:ilvl="4">
      <w:start w:val="1"/>
      <w:numFmt w:val="lowerRoman"/>
      <w:lvlText w:val="(%5)"/>
      <w:lvlJc w:val="left"/>
      <w:pPr>
        <w:tabs>
          <w:tab w:val="num" w:pos="2835"/>
        </w:tabs>
        <w:ind w:left="2835" w:hanging="567"/>
      </w:pPr>
      <w:rPr>
        <w:rFonts w:hint="default"/>
        <w:sz w:val="20"/>
        <w:szCs w:val="20"/>
      </w:rPr>
    </w:lvl>
    <w:lvl w:ilvl="5">
      <w:start w:val="1"/>
      <w:numFmt w:val="none"/>
      <w:lvlText w:val=""/>
      <w:lvlJc w:val="left"/>
      <w:pPr>
        <w:tabs>
          <w:tab w:val="num" w:pos="3402"/>
        </w:tabs>
        <w:ind w:left="3402" w:hanging="567"/>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744" w:firstLine="29025"/>
      </w:pPr>
      <w:rPr>
        <w:rFonts w:hint="default"/>
      </w:rPr>
    </w:lvl>
    <w:lvl w:ilvl="8">
      <w:start w:val="1"/>
      <w:numFmt w:val="none"/>
      <w:lvlText w:val=""/>
      <w:lvlJc w:val="left"/>
      <w:pPr>
        <w:tabs>
          <w:tab w:val="num" w:pos="-31680"/>
        </w:tabs>
        <w:ind w:left="-32767" w:firstLine="32767"/>
      </w:pPr>
      <w:rPr>
        <w:rFonts w:hint="default"/>
      </w:rPr>
    </w:lvl>
  </w:abstractNum>
  <w:abstractNum w:abstractNumId="10" w15:restartNumberingAfterBreak="0">
    <w:nsid w:val="1F246C29"/>
    <w:multiLevelType w:val="hybridMultilevel"/>
    <w:tmpl w:val="7D2EC7A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15:restartNumberingAfterBreak="0">
    <w:nsid w:val="612811DE"/>
    <w:multiLevelType w:val="hybridMultilevel"/>
    <w:tmpl w:val="43245186"/>
    <w:lvl w:ilvl="0" w:tplc="064C041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3DA6A5D"/>
    <w:multiLevelType w:val="multilevel"/>
    <w:tmpl w:val="37342B86"/>
    <w:lvl w:ilvl="0">
      <w:start w:val="1"/>
      <w:numFmt w:val="bullet"/>
      <w:pStyle w:val="Bullet3"/>
      <w:lvlText w:val=""/>
      <w:lvlJc w:val="left"/>
      <w:pPr>
        <w:ind w:left="2268" w:hanging="567"/>
      </w:pPr>
      <w:rPr>
        <w:rFonts w:ascii="Wingdings" w:hAnsi="Wingdings"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FA4855"/>
    <w:multiLevelType w:val="hybridMultilevel"/>
    <w:tmpl w:val="326A551A"/>
    <w:lvl w:ilvl="0" w:tplc="064C041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7421B7E"/>
    <w:multiLevelType w:val="singleLevel"/>
    <w:tmpl w:val="76005D10"/>
    <w:lvl w:ilvl="0">
      <w:start w:val="1"/>
      <w:numFmt w:val="bullet"/>
      <w:lvlText w:val=""/>
      <w:lvlJc w:val="left"/>
      <w:pPr>
        <w:tabs>
          <w:tab w:val="num" w:pos="1701"/>
        </w:tabs>
        <w:ind w:left="1701" w:hanging="850"/>
      </w:pPr>
      <w:rPr>
        <w:rFonts w:ascii="Symbol" w:hAnsi="Symbol" w:cs="Symbol" w:hint="default"/>
        <w:sz w:val="20"/>
        <w:szCs w:val="20"/>
      </w:rPr>
    </w:lvl>
  </w:abstractNum>
  <w:abstractNum w:abstractNumId="15" w15:restartNumberingAfterBreak="0">
    <w:nsid w:val="786E7240"/>
    <w:multiLevelType w:val="multilevel"/>
    <w:tmpl w:val="8A8C8786"/>
    <w:lvl w:ilvl="0">
      <w:start w:val="1"/>
      <w:numFmt w:val="lowerLetter"/>
      <w:pStyle w:val="legalDefinition"/>
      <w:lvlText w:val="(%1)"/>
      <w:lvlJc w:val="left"/>
      <w:pPr>
        <w:ind w:left="1701" w:hanging="850"/>
      </w:pPr>
      <w:rPr>
        <w:rFonts w:ascii="Arial" w:hAnsi="Arial" w:hint="default"/>
        <w:b w:val="0"/>
        <w:i w:val="0"/>
        <w:sz w:val="20"/>
        <w:szCs w:val="20"/>
      </w:rPr>
    </w:lvl>
    <w:lvl w:ilvl="1">
      <w:start w:val="1"/>
      <w:numFmt w:val="lowerRoman"/>
      <w:lvlText w:val="(%2)"/>
      <w:lvlJc w:val="left"/>
      <w:pPr>
        <w:ind w:left="2552" w:hanging="851"/>
      </w:pPr>
      <w:rPr>
        <w:rFonts w:hint="default"/>
      </w:rPr>
    </w:lvl>
    <w:lvl w:ilvl="2">
      <w:start w:val="1"/>
      <w:numFmt w:val="none"/>
      <w:lvlText w:val="%3."/>
      <w:lvlJc w:val="right"/>
      <w:pPr>
        <w:tabs>
          <w:tab w:val="num" w:pos="5280"/>
        </w:tabs>
        <w:ind w:left="-32767" w:firstLine="0"/>
      </w:pPr>
      <w:rPr>
        <w:rFonts w:hint="default"/>
      </w:rPr>
    </w:lvl>
    <w:lvl w:ilvl="3">
      <w:start w:val="1"/>
      <w:numFmt w:val="none"/>
      <w:lvlText w:val="%4."/>
      <w:lvlJc w:val="left"/>
      <w:pPr>
        <w:tabs>
          <w:tab w:val="num" w:pos="6000"/>
        </w:tabs>
        <w:ind w:left="-32767" w:firstLine="0"/>
      </w:pPr>
      <w:rPr>
        <w:rFonts w:hint="default"/>
      </w:rPr>
    </w:lvl>
    <w:lvl w:ilvl="4">
      <w:start w:val="1"/>
      <w:numFmt w:val="none"/>
      <w:lvlText w:val="%5."/>
      <w:lvlJc w:val="left"/>
      <w:pPr>
        <w:tabs>
          <w:tab w:val="num" w:pos="6720"/>
        </w:tabs>
        <w:ind w:left="-32767" w:firstLine="0"/>
      </w:pPr>
      <w:rPr>
        <w:rFonts w:hint="default"/>
      </w:rPr>
    </w:lvl>
    <w:lvl w:ilvl="5">
      <w:start w:val="1"/>
      <w:numFmt w:val="none"/>
      <w:lvlText w:val=""/>
      <w:lvlJc w:val="right"/>
      <w:pPr>
        <w:tabs>
          <w:tab w:val="num" w:pos="7440"/>
        </w:tabs>
        <w:ind w:left="-32767" w:firstLine="0"/>
      </w:pPr>
      <w:rPr>
        <w:rFonts w:hint="default"/>
      </w:rPr>
    </w:lvl>
    <w:lvl w:ilvl="6">
      <w:start w:val="1"/>
      <w:numFmt w:val="none"/>
      <w:lvlText w:val=""/>
      <w:lvlJc w:val="left"/>
      <w:pPr>
        <w:tabs>
          <w:tab w:val="num" w:pos="8160"/>
        </w:tabs>
        <w:ind w:left="-32767" w:hanging="24969"/>
      </w:pPr>
      <w:rPr>
        <w:rFonts w:hint="default"/>
      </w:rPr>
    </w:lvl>
    <w:lvl w:ilvl="7">
      <w:start w:val="1"/>
      <w:numFmt w:val="none"/>
      <w:lvlText w:val=""/>
      <w:lvlJc w:val="left"/>
      <w:pPr>
        <w:tabs>
          <w:tab w:val="num" w:pos="8880"/>
        </w:tabs>
        <w:ind w:left="-32767" w:firstLine="0"/>
      </w:pPr>
      <w:rPr>
        <w:rFonts w:hint="default"/>
      </w:rPr>
    </w:lvl>
    <w:lvl w:ilvl="8">
      <w:start w:val="1"/>
      <w:numFmt w:val="none"/>
      <w:lvlText w:val=""/>
      <w:lvlJc w:val="right"/>
      <w:pPr>
        <w:tabs>
          <w:tab w:val="num" w:pos="9600"/>
        </w:tabs>
        <w:ind w:left="-32767" w:firstLine="0"/>
      </w:pPr>
      <w:rPr>
        <w:rFonts w:hint="default"/>
      </w:rPr>
    </w:lvl>
  </w:abstractNum>
  <w:abstractNum w:abstractNumId="16" w15:restartNumberingAfterBreak="0">
    <w:nsid w:val="7A130F9B"/>
    <w:multiLevelType w:val="multilevel"/>
    <w:tmpl w:val="B428FBB0"/>
    <w:lvl w:ilvl="0">
      <w:start w:val="1"/>
      <w:numFmt w:val="bullet"/>
      <w:pStyle w:val="Bullet1"/>
      <w:lvlText w:val=""/>
      <w:lvlJc w:val="left"/>
      <w:pPr>
        <w:ind w:left="851" w:hanging="851"/>
      </w:pPr>
      <w:rPr>
        <w:rFonts w:ascii="Wingdings" w:hAnsi="Wingdings"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80370E"/>
    <w:multiLevelType w:val="hybridMultilevel"/>
    <w:tmpl w:val="84BCADE6"/>
    <w:lvl w:ilvl="0" w:tplc="C1906588">
      <w:numFmt w:val="bullet"/>
      <w:lvlText w:val=""/>
      <w:lvlJc w:val="left"/>
      <w:pPr>
        <w:ind w:left="720" w:hanging="360"/>
      </w:pPr>
      <w:rPr>
        <w:rFonts w:ascii="Symbol" w:eastAsia="Times New Roman"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
  </w:num>
  <w:num w:numId="4">
    <w:abstractNumId w:val="0"/>
  </w:num>
  <w:num w:numId="5">
    <w:abstractNumId w:val="0"/>
  </w:num>
  <w:num w:numId="6">
    <w:abstractNumId w:val="0"/>
  </w:num>
  <w:num w:numId="7">
    <w:abstractNumId w:val="0"/>
  </w:num>
  <w:num w:numId="8">
    <w:abstractNumId w:val="0"/>
  </w:num>
  <w:num w:numId="9">
    <w:abstractNumId w:val="15"/>
  </w:num>
  <w:num w:numId="10">
    <w:abstractNumId w:val="7"/>
  </w:num>
  <w:num w:numId="11">
    <w:abstractNumId w:val="8"/>
  </w:num>
  <w:num w:numId="12">
    <w:abstractNumId w:val="15"/>
  </w:num>
  <w:num w:numId="13">
    <w:abstractNumId w:val="7"/>
  </w:num>
  <w:num w:numId="14">
    <w:abstractNumId w:val="8"/>
  </w:num>
  <w:num w:numId="15">
    <w:abstractNumId w:val="2"/>
  </w:num>
  <w:num w:numId="16">
    <w:abstractNumId w:val="2"/>
  </w:num>
  <w:num w:numId="17">
    <w:abstractNumId w:val="2"/>
  </w:num>
  <w:num w:numId="18">
    <w:abstractNumId w:val="2"/>
  </w:num>
  <w:num w:numId="19">
    <w:abstractNumId w:val="8"/>
  </w:num>
  <w:num w:numId="20">
    <w:abstractNumId w:val="6"/>
  </w:num>
  <w:num w:numId="21">
    <w:abstractNumId w:val="4"/>
  </w:num>
  <w:num w:numId="22">
    <w:abstractNumId w:val="12"/>
  </w:num>
  <w:num w:numId="23">
    <w:abstractNumId w:val="9"/>
  </w:num>
  <w:num w:numId="24">
    <w:abstractNumId w:val="3"/>
  </w:num>
  <w:num w:numId="25">
    <w:abstractNumId w:val="3"/>
  </w:num>
  <w:num w:numId="26">
    <w:abstractNumId w:val="15"/>
  </w:num>
  <w:num w:numId="27">
    <w:abstractNumId w:val="10"/>
  </w:num>
  <w:num w:numId="28">
    <w:abstractNumId w:val="11"/>
  </w:num>
  <w:num w:numId="29">
    <w:abstractNumId w:val="5"/>
  </w:num>
  <w:num w:numId="30">
    <w:abstractNumId w:val="13"/>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851"/>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8F2"/>
    <w:rsid w:val="00001516"/>
    <w:rsid w:val="0000219D"/>
    <w:rsid w:val="00004623"/>
    <w:rsid w:val="00013EF3"/>
    <w:rsid w:val="00014126"/>
    <w:rsid w:val="00024874"/>
    <w:rsid w:val="00026512"/>
    <w:rsid w:val="000318F9"/>
    <w:rsid w:val="000328DE"/>
    <w:rsid w:val="000344EF"/>
    <w:rsid w:val="000378B8"/>
    <w:rsid w:val="00060B2C"/>
    <w:rsid w:val="0007748F"/>
    <w:rsid w:val="00080846"/>
    <w:rsid w:val="00081B64"/>
    <w:rsid w:val="00085BE1"/>
    <w:rsid w:val="000878C3"/>
    <w:rsid w:val="00093DB7"/>
    <w:rsid w:val="000A0E42"/>
    <w:rsid w:val="000A5A1D"/>
    <w:rsid w:val="000B06A8"/>
    <w:rsid w:val="000B2821"/>
    <w:rsid w:val="000C0076"/>
    <w:rsid w:val="000C00DD"/>
    <w:rsid w:val="000C34C3"/>
    <w:rsid w:val="000D5837"/>
    <w:rsid w:val="000D627E"/>
    <w:rsid w:val="000E346C"/>
    <w:rsid w:val="000E4322"/>
    <w:rsid w:val="000E459A"/>
    <w:rsid w:val="000E4D29"/>
    <w:rsid w:val="00102BF5"/>
    <w:rsid w:val="0010440A"/>
    <w:rsid w:val="001130A7"/>
    <w:rsid w:val="0011788B"/>
    <w:rsid w:val="001221F6"/>
    <w:rsid w:val="0012285B"/>
    <w:rsid w:val="00130215"/>
    <w:rsid w:val="00130573"/>
    <w:rsid w:val="001312C4"/>
    <w:rsid w:val="00132090"/>
    <w:rsid w:val="0013212F"/>
    <w:rsid w:val="001354FA"/>
    <w:rsid w:val="0013753C"/>
    <w:rsid w:val="00141D29"/>
    <w:rsid w:val="00146C3A"/>
    <w:rsid w:val="00160C72"/>
    <w:rsid w:val="001669A0"/>
    <w:rsid w:val="0017051D"/>
    <w:rsid w:val="001744FB"/>
    <w:rsid w:val="00181962"/>
    <w:rsid w:val="00193A84"/>
    <w:rsid w:val="00195703"/>
    <w:rsid w:val="0019771D"/>
    <w:rsid w:val="001A138C"/>
    <w:rsid w:val="001A46C5"/>
    <w:rsid w:val="001A5CA0"/>
    <w:rsid w:val="001A7CFC"/>
    <w:rsid w:val="001B0B41"/>
    <w:rsid w:val="001B100D"/>
    <w:rsid w:val="001B5044"/>
    <w:rsid w:val="001C07B6"/>
    <w:rsid w:val="001C2606"/>
    <w:rsid w:val="001C288B"/>
    <w:rsid w:val="001C5CAE"/>
    <w:rsid w:val="001C60F9"/>
    <w:rsid w:val="001D1C66"/>
    <w:rsid w:val="001E30F0"/>
    <w:rsid w:val="001E4878"/>
    <w:rsid w:val="00214AC3"/>
    <w:rsid w:val="00221F24"/>
    <w:rsid w:val="0022722E"/>
    <w:rsid w:val="00235AAE"/>
    <w:rsid w:val="00241B2C"/>
    <w:rsid w:val="00247D84"/>
    <w:rsid w:val="00252DE6"/>
    <w:rsid w:val="00255B9D"/>
    <w:rsid w:val="00265892"/>
    <w:rsid w:val="002714AE"/>
    <w:rsid w:val="0027483A"/>
    <w:rsid w:val="0027701A"/>
    <w:rsid w:val="00281641"/>
    <w:rsid w:val="00282BA5"/>
    <w:rsid w:val="00292911"/>
    <w:rsid w:val="0029697B"/>
    <w:rsid w:val="002A1D9C"/>
    <w:rsid w:val="002A57A5"/>
    <w:rsid w:val="002A7429"/>
    <w:rsid w:val="002A78F2"/>
    <w:rsid w:val="002B13CD"/>
    <w:rsid w:val="002C1300"/>
    <w:rsid w:val="002D06DF"/>
    <w:rsid w:val="002D0AC5"/>
    <w:rsid w:val="002D2AF8"/>
    <w:rsid w:val="002E289C"/>
    <w:rsid w:val="002E3734"/>
    <w:rsid w:val="002E5C2E"/>
    <w:rsid w:val="003042A1"/>
    <w:rsid w:val="00305049"/>
    <w:rsid w:val="003243FC"/>
    <w:rsid w:val="00333349"/>
    <w:rsid w:val="00340A9E"/>
    <w:rsid w:val="003472DE"/>
    <w:rsid w:val="003539F5"/>
    <w:rsid w:val="0035572C"/>
    <w:rsid w:val="003610F8"/>
    <w:rsid w:val="00377F60"/>
    <w:rsid w:val="00380B75"/>
    <w:rsid w:val="003818A1"/>
    <w:rsid w:val="0039313B"/>
    <w:rsid w:val="0039628E"/>
    <w:rsid w:val="003B203E"/>
    <w:rsid w:val="003B635F"/>
    <w:rsid w:val="003C6484"/>
    <w:rsid w:val="003C6669"/>
    <w:rsid w:val="003D1484"/>
    <w:rsid w:val="003D2513"/>
    <w:rsid w:val="003D60EC"/>
    <w:rsid w:val="003D7845"/>
    <w:rsid w:val="003E1D40"/>
    <w:rsid w:val="003E4042"/>
    <w:rsid w:val="003E6564"/>
    <w:rsid w:val="003E70D2"/>
    <w:rsid w:val="003F6E7E"/>
    <w:rsid w:val="004149D3"/>
    <w:rsid w:val="0042003C"/>
    <w:rsid w:val="00423DE9"/>
    <w:rsid w:val="00424297"/>
    <w:rsid w:val="00436245"/>
    <w:rsid w:val="0044161B"/>
    <w:rsid w:val="0044345D"/>
    <w:rsid w:val="00447FFA"/>
    <w:rsid w:val="004615E6"/>
    <w:rsid w:val="00462C4B"/>
    <w:rsid w:val="0048309A"/>
    <w:rsid w:val="00495F6C"/>
    <w:rsid w:val="004A4745"/>
    <w:rsid w:val="004B3D3D"/>
    <w:rsid w:val="004C15D5"/>
    <w:rsid w:val="004C2E9D"/>
    <w:rsid w:val="004C43DE"/>
    <w:rsid w:val="004F070D"/>
    <w:rsid w:val="0050785A"/>
    <w:rsid w:val="00515674"/>
    <w:rsid w:val="00517177"/>
    <w:rsid w:val="00523427"/>
    <w:rsid w:val="005316AC"/>
    <w:rsid w:val="0053657B"/>
    <w:rsid w:val="005473EF"/>
    <w:rsid w:val="00551A0D"/>
    <w:rsid w:val="00562A19"/>
    <w:rsid w:val="00562CC2"/>
    <w:rsid w:val="00567AB2"/>
    <w:rsid w:val="00567D51"/>
    <w:rsid w:val="0057462F"/>
    <w:rsid w:val="00581473"/>
    <w:rsid w:val="005822A5"/>
    <w:rsid w:val="005837FD"/>
    <w:rsid w:val="0058512B"/>
    <w:rsid w:val="00595351"/>
    <w:rsid w:val="005B5C99"/>
    <w:rsid w:val="005C2214"/>
    <w:rsid w:val="005D2A28"/>
    <w:rsid w:val="005D6EFB"/>
    <w:rsid w:val="005F03BE"/>
    <w:rsid w:val="005F1FA4"/>
    <w:rsid w:val="005F5DD3"/>
    <w:rsid w:val="005F73C6"/>
    <w:rsid w:val="00611F27"/>
    <w:rsid w:val="00620525"/>
    <w:rsid w:val="006232FF"/>
    <w:rsid w:val="006501D5"/>
    <w:rsid w:val="00651889"/>
    <w:rsid w:val="0066058D"/>
    <w:rsid w:val="00666277"/>
    <w:rsid w:val="0067035F"/>
    <w:rsid w:val="0069090B"/>
    <w:rsid w:val="006A1FB4"/>
    <w:rsid w:val="006A6605"/>
    <w:rsid w:val="006B1B24"/>
    <w:rsid w:val="006C1140"/>
    <w:rsid w:val="006C7339"/>
    <w:rsid w:val="006D4965"/>
    <w:rsid w:val="006E5986"/>
    <w:rsid w:val="006F3E74"/>
    <w:rsid w:val="00711BEF"/>
    <w:rsid w:val="00714ABC"/>
    <w:rsid w:val="00720C07"/>
    <w:rsid w:val="007223EE"/>
    <w:rsid w:val="00723B45"/>
    <w:rsid w:val="00724117"/>
    <w:rsid w:val="0072580E"/>
    <w:rsid w:val="00727AF9"/>
    <w:rsid w:val="007319B8"/>
    <w:rsid w:val="00731F2B"/>
    <w:rsid w:val="00732573"/>
    <w:rsid w:val="00745569"/>
    <w:rsid w:val="007468E2"/>
    <w:rsid w:val="007504F8"/>
    <w:rsid w:val="00751CBB"/>
    <w:rsid w:val="0075340B"/>
    <w:rsid w:val="007643A1"/>
    <w:rsid w:val="0077422D"/>
    <w:rsid w:val="007744A6"/>
    <w:rsid w:val="00777614"/>
    <w:rsid w:val="007776C5"/>
    <w:rsid w:val="00795131"/>
    <w:rsid w:val="007A21B1"/>
    <w:rsid w:val="007A3B2B"/>
    <w:rsid w:val="007B1EDC"/>
    <w:rsid w:val="007C0FFC"/>
    <w:rsid w:val="007C3EE9"/>
    <w:rsid w:val="007C7C38"/>
    <w:rsid w:val="007D7322"/>
    <w:rsid w:val="007E29F1"/>
    <w:rsid w:val="007E486D"/>
    <w:rsid w:val="007E5A4E"/>
    <w:rsid w:val="007E5CE0"/>
    <w:rsid w:val="007F0818"/>
    <w:rsid w:val="007F1E66"/>
    <w:rsid w:val="00800CCC"/>
    <w:rsid w:val="008056DD"/>
    <w:rsid w:val="008137AE"/>
    <w:rsid w:val="00815AD0"/>
    <w:rsid w:val="0081605E"/>
    <w:rsid w:val="00823CA4"/>
    <w:rsid w:val="008339BA"/>
    <w:rsid w:val="008351D3"/>
    <w:rsid w:val="00840897"/>
    <w:rsid w:val="00851BFB"/>
    <w:rsid w:val="008524E5"/>
    <w:rsid w:val="008552A8"/>
    <w:rsid w:val="00865DD5"/>
    <w:rsid w:val="0086750D"/>
    <w:rsid w:val="008701FF"/>
    <w:rsid w:val="00870559"/>
    <w:rsid w:val="008722C4"/>
    <w:rsid w:val="00876194"/>
    <w:rsid w:val="008879EF"/>
    <w:rsid w:val="0089724D"/>
    <w:rsid w:val="008A1C2A"/>
    <w:rsid w:val="008B30F0"/>
    <w:rsid w:val="008C6E59"/>
    <w:rsid w:val="008D0618"/>
    <w:rsid w:val="008D0E57"/>
    <w:rsid w:val="008D24B6"/>
    <w:rsid w:val="008D3891"/>
    <w:rsid w:val="008D4889"/>
    <w:rsid w:val="008E1BC5"/>
    <w:rsid w:val="008E36C7"/>
    <w:rsid w:val="008E40EE"/>
    <w:rsid w:val="008F5DFE"/>
    <w:rsid w:val="008F78A8"/>
    <w:rsid w:val="009074A1"/>
    <w:rsid w:val="00910DEC"/>
    <w:rsid w:val="009157FD"/>
    <w:rsid w:val="0092216D"/>
    <w:rsid w:val="00922539"/>
    <w:rsid w:val="00924480"/>
    <w:rsid w:val="00924A1F"/>
    <w:rsid w:val="00933399"/>
    <w:rsid w:val="00934D97"/>
    <w:rsid w:val="00934FF3"/>
    <w:rsid w:val="0094234B"/>
    <w:rsid w:val="009457C9"/>
    <w:rsid w:val="0095090F"/>
    <w:rsid w:val="00961825"/>
    <w:rsid w:val="009631DC"/>
    <w:rsid w:val="009645AA"/>
    <w:rsid w:val="00965028"/>
    <w:rsid w:val="009706DE"/>
    <w:rsid w:val="009774E0"/>
    <w:rsid w:val="009800AA"/>
    <w:rsid w:val="00993D84"/>
    <w:rsid w:val="009A034A"/>
    <w:rsid w:val="009B357C"/>
    <w:rsid w:val="009D0A9B"/>
    <w:rsid w:val="009D7D70"/>
    <w:rsid w:val="009E08FF"/>
    <w:rsid w:val="009E31A4"/>
    <w:rsid w:val="009F2818"/>
    <w:rsid w:val="009F4169"/>
    <w:rsid w:val="009F4B1A"/>
    <w:rsid w:val="009F624E"/>
    <w:rsid w:val="00A0070A"/>
    <w:rsid w:val="00A27FA8"/>
    <w:rsid w:val="00A357E0"/>
    <w:rsid w:val="00A36F0B"/>
    <w:rsid w:val="00A46D49"/>
    <w:rsid w:val="00A52D41"/>
    <w:rsid w:val="00A53A6E"/>
    <w:rsid w:val="00A53B58"/>
    <w:rsid w:val="00A547F7"/>
    <w:rsid w:val="00A66A40"/>
    <w:rsid w:val="00A71CDD"/>
    <w:rsid w:val="00A7304C"/>
    <w:rsid w:val="00A86E08"/>
    <w:rsid w:val="00A96E49"/>
    <w:rsid w:val="00AA359A"/>
    <w:rsid w:val="00AA652D"/>
    <w:rsid w:val="00AC4F3D"/>
    <w:rsid w:val="00AD038D"/>
    <w:rsid w:val="00AE1E2E"/>
    <w:rsid w:val="00AE274C"/>
    <w:rsid w:val="00AE36C7"/>
    <w:rsid w:val="00AE3978"/>
    <w:rsid w:val="00AE4A1A"/>
    <w:rsid w:val="00B008C6"/>
    <w:rsid w:val="00B017C4"/>
    <w:rsid w:val="00B0420B"/>
    <w:rsid w:val="00B30ABA"/>
    <w:rsid w:val="00B35A9E"/>
    <w:rsid w:val="00B37BD5"/>
    <w:rsid w:val="00B40347"/>
    <w:rsid w:val="00B45888"/>
    <w:rsid w:val="00B471D8"/>
    <w:rsid w:val="00B50DC3"/>
    <w:rsid w:val="00B53AB8"/>
    <w:rsid w:val="00B54939"/>
    <w:rsid w:val="00B56ACB"/>
    <w:rsid w:val="00B56DB6"/>
    <w:rsid w:val="00B578D6"/>
    <w:rsid w:val="00B6105F"/>
    <w:rsid w:val="00B63EFE"/>
    <w:rsid w:val="00B65A9D"/>
    <w:rsid w:val="00B70E90"/>
    <w:rsid w:val="00B7758B"/>
    <w:rsid w:val="00B80FD7"/>
    <w:rsid w:val="00B86196"/>
    <w:rsid w:val="00B86E4E"/>
    <w:rsid w:val="00B90DC9"/>
    <w:rsid w:val="00B936F6"/>
    <w:rsid w:val="00B9532B"/>
    <w:rsid w:val="00BA617D"/>
    <w:rsid w:val="00BB3605"/>
    <w:rsid w:val="00BC7808"/>
    <w:rsid w:val="00BD1706"/>
    <w:rsid w:val="00BE2E3A"/>
    <w:rsid w:val="00BE765B"/>
    <w:rsid w:val="00BF0B65"/>
    <w:rsid w:val="00BF1F3D"/>
    <w:rsid w:val="00BF619A"/>
    <w:rsid w:val="00BF7B6A"/>
    <w:rsid w:val="00C005F6"/>
    <w:rsid w:val="00C051F2"/>
    <w:rsid w:val="00C0690A"/>
    <w:rsid w:val="00C129BF"/>
    <w:rsid w:val="00C132A2"/>
    <w:rsid w:val="00C2341C"/>
    <w:rsid w:val="00C301D1"/>
    <w:rsid w:val="00C311B4"/>
    <w:rsid w:val="00C317FD"/>
    <w:rsid w:val="00C33D68"/>
    <w:rsid w:val="00C47068"/>
    <w:rsid w:val="00C53AE9"/>
    <w:rsid w:val="00C53B95"/>
    <w:rsid w:val="00C6093C"/>
    <w:rsid w:val="00C64631"/>
    <w:rsid w:val="00C67D3A"/>
    <w:rsid w:val="00C72138"/>
    <w:rsid w:val="00C73CB6"/>
    <w:rsid w:val="00C75315"/>
    <w:rsid w:val="00C764AF"/>
    <w:rsid w:val="00C83045"/>
    <w:rsid w:val="00C86A5A"/>
    <w:rsid w:val="00C92013"/>
    <w:rsid w:val="00C93CBB"/>
    <w:rsid w:val="00C940C2"/>
    <w:rsid w:val="00CA28E4"/>
    <w:rsid w:val="00CA2E21"/>
    <w:rsid w:val="00CA4111"/>
    <w:rsid w:val="00CA7C8F"/>
    <w:rsid w:val="00CC2F20"/>
    <w:rsid w:val="00CC7277"/>
    <w:rsid w:val="00CD2B96"/>
    <w:rsid w:val="00CD663C"/>
    <w:rsid w:val="00CE790D"/>
    <w:rsid w:val="00CF134C"/>
    <w:rsid w:val="00CF32F8"/>
    <w:rsid w:val="00D00CAE"/>
    <w:rsid w:val="00D023A7"/>
    <w:rsid w:val="00D02675"/>
    <w:rsid w:val="00D102F5"/>
    <w:rsid w:val="00D30BE6"/>
    <w:rsid w:val="00D47DD9"/>
    <w:rsid w:val="00D5058D"/>
    <w:rsid w:val="00D7404C"/>
    <w:rsid w:val="00D779F5"/>
    <w:rsid w:val="00D77FD0"/>
    <w:rsid w:val="00D82A6F"/>
    <w:rsid w:val="00D830BC"/>
    <w:rsid w:val="00D85BD8"/>
    <w:rsid w:val="00D97B1D"/>
    <w:rsid w:val="00DA099D"/>
    <w:rsid w:val="00DA3F18"/>
    <w:rsid w:val="00DA5891"/>
    <w:rsid w:val="00DB6028"/>
    <w:rsid w:val="00DD2765"/>
    <w:rsid w:val="00DD5565"/>
    <w:rsid w:val="00DD77A6"/>
    <w:rsid w:val="00DE2B44"/>
    <w:rsid w:val="00DE4CAD"/>
    <w:rsid w:val="00DE7582"/>
    <w:rsid w:val="00DF22E2"/>
    <w:rsid w:val="00E00229"/>
    <w:rsid w:val="00E05BF1"/>
    <w:rsid w:val="00E10E82"/>
    <w:rsid w:val="00E22DA6"/>
    <w:rsid w:val="00E2736E"/>
    <w:rsid w:val="00E307A9"/>
    <w:rsid w:val="00E44C40"/>
    <w:rsid w:val="00E47ED7"/>
    <w:rsid w:val="00E5424F"/>
    <w:rsid w:val="00E56669"/>
    <w:rsid w:val="00E577DF"/>
    <w:rsid w:val="00E612F1"/>
    <w:rsid w:val="00E62821"/>
    <w:rsid w:val="00E64E1E"/>
    <w:rsid w:val="00E675AF"/>
    <w:rsid w:val="00E75137"/>
    <w:rsid w:val="00E91A11"/>
    <w:rsid w:val="00E92954"/>
    <w:rsid w:val="00E9632B"/>
    <w:rsid w:val="00EA4559"/>
    <w:rsid w:val="00EA69AE"/>
    <w:rsid w:val="00EA7021"/>
    <w:rsid w:val="00EB4B5D"/>
    <w:rsid w:val="00EC0617"/>
    <w:rsid w:val="00ED0812"/>
    <w:rsid w:val="00ED4244"/>
    <w:rsid w:val="00ED6F01"/>
    <w:rsid w:val="00ED6F31"/>
    <w:rsid w:val="00ED6F87"/>
    <w:rsid w:val="00EE321B"/>
    <w:rsid w:val="00EE4EFE"/>
    <w:rsid w:val="00F15E1A"/>
    <w:rsid w:val="00F2084E"/>
    <w:rsid w:val="00F21EA5"/>
    <w:rsid w:val="00F224B4"/>
    <w:rsid w:val="00F246CD"/>
    <w:rsid w:val="00F25C68"/>
    <w:rsid w:val="00F35B14"/>
    <w:rsid w:val="00F426C9"/>
    <w:rsid w:val="00F437B1"/>
    <w:rsid w:val="00F501B7"/>
    <w:rsid w:val="00F558DA"/>
    <w:rsid w:val="00F572BF"/>
    <w:rsid w:val="00F61307"/>
    <w:rsid w:val="00F7352E"/>
    <w:rsid w:val="00F76422"/>
    <w:rsid w:val="00F76D34"/>
    <w:rsid w:val="00F822EA"/>
    <w:rsid w:val="00F824E5"/>
    <w:rsid w:val="00F84DA3"/>
    <w:rsid w:val="00F860E3"/>
    <w:rsid w:val="00FA67EF"/>
    <w:rsid w:val="00FB4167"/>
    <w:rsid w:val="00FC019A"/>
    <w:rsid w:val="00FC18E4"/>
    <w:rsid w:val="00FC7B1A"/>
    <w:rsid w:val="00FD0A55"/>
    <w:rsid w:val="00FD38D9"/>
    <w:rsid w:val="00FD5293"/>
    <w:rsid w:val="00FE78EF"/>
    <w:rsid w:val="00FF33A0"/>
    <w:rsid w:val="00FF4F1B"/>
    <w:rsid w:val="00FF56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heme="minorBidi"/>
        <w:lang w:val="en-AU"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8F2"/>
  </w:style>
  <w:style w:type="paragraph" w:styleId="Heading1">
    <w:name w:val="heading 1"/>
    <w:basedOn w:val="Normal"/>
    <w:next w:val="BodyIndent1"/>
    <w:link w:val="Heading1Char"/>
    <w:rsid w:val="00A46D49"/>
    <w:pPr>
      <w:keepNext/>
      <w:numPr>
        <w:numId w:val="8"/>
      </w:numPr>
      <w:pBdr>
        <w:top w:val="single" w:sz="4" w:space="6" w:color="auto"/>
      </w:pBdr>
      <w:spacing w:before="480"/>
      <w:outlineLvl w:val="0"/>
    </w:pPr>
    <w:rPr>
      <w:b/>
      <w:kern w:val="28"/>
      <w:sz w:val="22"/>
    </w:rPr>
  </w:style>
  <w:style w:type="paragraph" w:styleId="Heading2">
    <w:name w:val="heading 2"/>
    <w:basedOn w:val="Normal"/>
    <w:next w:val="BodyIndent1"/>
    <w:link w:val="Heading2Char"/>
    <w:rsid w:val="003610F8"/>
    <w:pPr>
      <w:keepNext/>
      <w:numPr>
        <w:ilvl w:val="1"/>
        <w:numId w:val="8"/>
      </w:numPr>
      <w:spacing w:before="240"/>
      <w:outlineLvl w:val="1"/>
    </w:pPr>
    <w:rPr>
      <w:b/>
    </w:rPr>
  </w:style>
  <w:style w:type="paragraph" w:styleId="Heading3">
    <w:name w:val="heading 3"/>
    <w:basedOn w:val="Normal"/>
    <w:link w:val="Heading3Char"/>
    <w:qFormat/>
    <w:rsid w:val="003610F8"/>
    <w:pPr>
      <w:numPr>
        <w:ilvl w:val="2"/>
        <w:numId w:val="8"/>
      </w:numPr>
      <w:spacing w:before="240"/>
      <w:outlineLvl w:val="2"/>
    </w:pPr>
  </w:style>
  <w:style w:type="paragraph" w:styleId="Heading4">
    <w:name w:val="heading 4"/>
    <w:basedOn w:val="Normal"/>
    <w:link w:val="Heading4Char"/>
    <w:qFormat/>
    <w:rsid w:val="003610F8"/>
    <w:pPr>
      <w:numPr>
        <w:ilvl w:val="3"/>
        <w:numId w:val="8"/>
      </w:numPr>
      <w:spacing w:before="240"/>
      <w:outlineLvl w:val="3"/>
    </w:pPr>
  </w:style>
  <w:style w:type="paragraph" w:styleId="Heading5">
    <w:name w:val="heading 5"/>
    <w:basedOn w:val="Normal"/>
    <w:link w:val="Heading5Char"/>
    <w:semiHidden/>
    <w:qFormat/>
    <w:rsid w:val="003610F8"/>
    <w:pPr>
      <w:numPr>
        <w:ilvl w:val="4"/>
        <w:numId w:val="8"/>
      </w:numPr>
      <w:spacing w:before="240"/>
      <w:outlineLvl w:val="4"/>
    </w:pPr>
  </w:style>
  <w:style w:type="paragraph" w:styleId="Heading6">
    <w:name w:val="heading 6"/>
    <w:basedOn w:val="Normal"/>
    <w:next w:val="Normal"/>
    <w:link w:val="Heading6Char"/>
    <w:semiHidden/>
    <w:rsid w:val="008C6E59"/>
    <w:pPr>
      <w:outlineLvl w:val="5"/>
    </w:pPr>
  </w:style>
  <w:style w:type="paragraph" w:styleId="Heading7">
    <w:name w:val="heading 7"/>
    <w:basedOn w:val="Normal"/>
    <w:next w:val="Normal"/>
    <w:link w:val="Heading7Char"/>
    <w:semiHidden/>
    <w:rsid w:val="008C6E59"/>
    <w:pPr>
      <w:outlineLvl w:val="6"/>
    </w:pPr>
  </w:style>
  <w:style w:type="paragraph" w:styleId="Heading8">
    <w:name w:val="heading 8"/>
    <w:basedOn w:val="Normal"/>
    <w:next w:val="Normal"/>
    <w:link w:val="Heading8Char"/>
    <w:semiHidden/>
    <w:rsid w:val="008C6E59"/>
    <w:pPr>
      <w:outlineLvl w:val="7"/>
    </w:pPr>
  </w:style>
  <w:style w:type="paragraph" w:styleId="Heading9">
    <w:name w:val="heading 9"/>
    <w:basedOn w:val="Normal"/>
    <w:next w:val="Normal"/>
    <w:link w:val="Heading9Char"/>
    <w:semiHidden/>
    <w:rsid w:val="008C6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Indent1">
    <w:name w:val="Body Indent 1"/>
    <w:basedOn w:val="Normal"/>
    <w:qFormat/>
    <w:rsid w:val="008C6E59"/>
    <w:pPr>
      <w:spacing w:before="240"/>
      <w:ind w:left="851"/>
    </w:pPr>
    <w:rPr>
      <w:rFonts w:cs="Arial"/>
    </w:rPr>
  </w:style>
  <w:style w:type="paragraph" w:customStyle="1" w:styleId="BodyIndent2">
    <w:name w:val="Body Indent 2"/>
    <w:basedOn w:val="Normal"/>
    <w:qFormat/>
    <w:rsid w:val="008C6E59"/>
    <w:pPr>
      <w:spacing w:before="240"/>
      <w:ind w:left="1701"/>
    </w:pPr>
    <w:rPr>
      <w:rFonts w:cs="Arial"/>
    </w:rPr>
  </w:style>
  <w:style w:type="paragraph" w:customStyle="1" w:styleId="BodyIndent3">
    <w:name w:val="Body Indent 3"/>
    <w:basedOn w:val="Normal"/>
    <w:qFormat/>
    <w:rsid w:val="008C6E59"/>
    <w:pPr>
      <w:spacing w:before="240"/>
      <w:ind w:left="2268"/>
    </w:pPr>
    <w:rPr>
      <w:rFonts w:cs="Arial"/>
    </w:rPr>
  </w:style>
  <w:style w:type="paragraph" w:customStyle="1" w:styleId="Bullet1">
    <w:name w:val="Bullet1"/>
    <w:basedOn w:val="Normal"/>
    <w:qFormat/>
    <w:rsid w:val="00EB4B5D"/>
    <w:pPr>
      <w:numPr>
        <w:numId w:val="1"/>
      </w:numPr>
      <w:spacing w:before="240"/>
    </w:pPr>
    <w:rPr>
      <w:rFonts w:cs="Arial"/>
    </w:rPr>
  </w:style>
  <w:style w:type="paragraph" w:customStyle="1" w:styleId="Bullet2">
    <w:name w:val="Bullet2"/>
    <w:basedOn w:val="Normal"/>
    <w:qFormat/>
    <w:rsid w:val="00A46D49"/>
    <w:pPr>
      <w:numPr>
        <w:numId w:val="21"/>
      </w:numPr>
      <w:spacing w:before="240"/>
    </w:pPr>
  </w:style>
  <w:style w:type="paragraph" w:customStyle="1" w:styleId="Bullet3">
    <w:name w:val="Bullet3"/>
    <w:basedOn w:val="Normal"/>
    <w:qFormat/>
    <w:rsid w:val="00A46D49"/>
    <w:pPr>
      <w:numPr>
        <w:numId w:val="22"/>
      </w:numPr>
      <w:spacing w:before="240"/>
    </w:pPr>
  </w:style>
  <w:style w:type="paragraph" w:customStyle="1" w:styleId="correspQuote">
    <w:name w:val="correspQuote"/>
    <w:basedOn w:val="Normal"/>
    <w:qFormat/>
    <w:rsid w:val="008C6E59"/>
    <w:pPr>
      <w:spacing w:before="240"/>
      <w:ind w:left="851" w:right="851"/>
    </w:pPr>
    <w:rPr>
      <w:rFonts w:cs="Arial"/>
      <w:sz w:val="18"/>
    </w:rPr>
  </w:style>
  <w:style w:type="paragraph" w:customStyle="1" w:styleId="covBodyText">
    <w:name w:val="covBodyText"/>
    <w:basedOn w:val="Normal"/>
    <w:qFormat/>
    <w:rsid w:val="00A46D49"/>
    <w:pPr>
      <w:ind w:left="397"/>
    </w:pPr>
    <w:rPr>
      <w:rFonts w:cs="Times New Roman"/>
      <w:sz w:val="22"/>
      <w:lang w:eastAsia="en-AU"/>
    </w:rPr>
  </w:style>
  <w:style w:type="paragraph" w:customStyle="1" w:styleId="covSubTitle">
    <w:name w:val="covSubTitle"/>
    <w:basedOn w:val="Normal"/>
    <w:next w:val="covBodyText"/>
    <w:rsid w:val="00A46D49"/>
    <w:pPr>
      <w:ind w:left="397"/>
    </w:pPr>
    <w:rPr>
      <w:rFonts w:cs="Times New Roman"/>
      <w:b/>
      <w:sz w:val="22"/>
      <w:lang w:eastAsia="en-AU"/>
    </w:rPr>
  </w:style>
  <w:style w:type="paragraph" w:customStyle="1" w:styleId="covTitle">
    <w:name w:val="covTitle"/>
    <w:basedOn w:val="Normal"/>
    <w:next w:val="covBodyText"/>
    <w:qFormat/>
    <w:rsid w:val="0077422D"/>
    <w:pPr>
      <w:spacing w:before="3600"/>
      <w:ind w:left="397"/>
    </w:pPr>
    <w:rPr>
      <w:rFonts w:cs="Times New Roman"/>
      <w:b/>
      <w:sz w:val="34"/>
      <w:lang w:eastAsia="en-AU"/>
    </w:rPr>
  </w:style>
  <w:style w:type="character" w:customStyle="1" w:styleId="Heading1Char">
    <w:name w:val="Heading 1 Char"/>
    <w:basedOn w:val="DefaultParagraphFont"/>
    <w:link w:val="Heading1"/>
    <w:rsid w:val="00A46D49"/>
    <w:rPr>
      <w:b/>
      <w:kern w:val="28"/>
      <w:sz w:val="22"/>
    </w:rPr>
  </w:style>
  <w:style w:type="character" w:customStyle="1" w:styleId="Heading2Char">
    <w:name w:val="Heading 2 Char"/>
    <w:basedOn w:val="DefaultParagraphFont"/>
    <w:link w:val="Heading2"/>
    <w:rsid w:val="003610F8"/>
    <w:rPr>
      <w:b/>
    </w:rPr>
  </w:style>
  <w:style w:type="character" w:customStyle="1" w:styleId="Heading3Char">
    <w:name w:val="Heading 3 Char"/>
    <w:basedOn w:val="DefaultParagraphFont"/>
    <w:link w:val="Heading3"/>
    <w:rsid w:val="003610F8"/>
  </w:style>
  <w:style w:type="character" w:customStyle="1" w:styleId="Heading4Char">
    <w:name w:val="Heading 4 Char"/>
    <w:basedOn w:val="DefaultParagraphFont"/>
    <w:link w:val="Heading4"/>
    <w:rsid w:val="003610F8"/>
  </w:style>
  <w:style w:type="character" w:customStyle="1" w:styleId="Heading5Char">
    <w:name w:val="Heading 5 Char"/>
    <w:basedOn w:val="DefaultParagraphFont"/>
    <w:link w:val="Heading5"/>
    <w:semiHidden/>
    <w:rsid w:val="00FC18E4"/>
  </w:style>
  <w:style w:type="character" w:customStyle="1" w:styleId="Heading6Char">
    <w:name w:val="Heading 6 Char"/>
    <w:basedOn w:val="DefaultParagraphFont"/>
    <w:link w:val="Heading6"/>
    <w:semiHidden/>
    <w:rsid w:val="000344EF"/>
    <w:rPr>
      <w:rFonts w:ascii="Arial" w:hAnsi="Arial" w:cs="Times New Roman"/>
      <w:sz w:val="20"/>
      <w:szCs w:val="20"/>
      <w:lang w:eastAsia="en-AU"/>
    </w:rPr>
  </w:style>
  <w:style w:type="character" w:customStyle="1" w:styleId="Heading7Char">
    <w:name w:val="Heading 7 Char"/>
    <w:basedOn w:val="DefaultParagraphFont"/>
    <w:link w:val="Heading7"/>
    <w:semiHidden/>
    <w:rsid w:val="000344EF"/>
    <w:rPr>
      <w:rFonts w:ascii="Arial" w:hAnsi="Arial" w:cs="Times New Roman"/>
      <w:sz w:val="20"/>
      <w:szCs w:val="20"/>
      <w:lang w:eastAsia="en-AU"/>
    </w:rPr>
  </w:style>
  <w:style w:type="character" w:customStyle="1" w:styleId="Heading8Char">
    <w:name w:val="Heading 8 Char"/>
    <w:basedOn w:val="DefaultParagraphFont"/>
    <w:link w:val="Heading8"/>
    <w:semiHidden/>
    <w:rsid w:val="000344EF"/>
    <w:rPr>
      <w:rFonts w:ascii="Arial" w:hAnsi="Arial" w:cs="Times New Roman"/>
      <w:sz w:val="20"/>
      <w:szCs w:val="20"/>
      <w:lang w:eastAsia="en-AU"/>
    </w:rPr>
  </w:style>
  <w:style w:type="character" w:customStyle="1" w:styleId="Heading9Char">
    <w:name w:val="Heading 9 Char"/>
    <w:basedOn w:val="DefaultParagraphFont"/>
    <w:link w:val="Heading9"/>
    <w:semiHidden/>
    <w:rsid w:val="000344EF"/>
    <w:rPr>
      <w:rFonts w:ascii="Arial" w:hAnsi="Arial" w:cs="Times New Roman"/>
      <w:sz w:val="20"/>
      <w:szCs w:val="20"/>
      <w:lang w:eastAsia="en-AU"/>
    </w:rPr>
  </w:style>
  <w:style w:type="paragraph" w:customStyle="1" w:styleId="Headingpara2">
    <w:name w:val="Headingpara2"/>
    <w:basedOn w:val="Heading2"/>
    <w:qFormat/>
    <w:rsid w:val="00255B9D"/>
    <w:pPr>
      <w:keepNext w:val="0"/>
    </w:pPr>
    <w:rPr>
      <w:b w:val="0"/>
    </w:rPr>
  </w:style>
  <w:style w:type="paragraph" w:customStyle="1" w:styleId="legalDefinition">
    <w:name w:val="legalDefinition"/>
    <w:basedOn w:val="Normal"/>
    <w:qFormat/>
    <w:rsid w:val="00A71CDD"/>
    <w:pPr>
      <w:numPr>
        <w:numId w:val="26"/>
      </w:numPr>
      <w:spacing w:before="240"/>
    </w:pPr>
    <w:rPr>
      <w:rFonts w:cs="Times New Roman"/>
    </w:rPr>
  </w:style>
  <w:style w:type="paragraph" w:customStyle="1" w:styleId="legalRecital1">
    <w:name w:val="legalRecital1"/>
    <w:basedOn w:val="Normal"/>
    <w:qFormat/>
    <w:rsid w:val="003610F8"/>
    <w:pPr>
      <w:numPr>
        <w:numId w:val="13"/>
      </w:numPr>
      <w:spacing w:before="240"/>
    </w:pPr>
  </w:style>
  <w:style w:type="paragraph" w:customStyle="1" w:styleId="legalSchedule">
    <w:name w:val="legalSchedule"/>
    <w:basedOn w:val="Normal"/>
    <w:next w:val="Normal"/>
    <w:qFormat/>
    <w:rsid w:val="001A138C"/>
    <w:pPr>
      <w:pageBreakBefore/>
      <w:numPr>
        <w:numId w:val="19"/>
      </w:numPr>
      <w:pBdr>
        <w:top w:val="single" w:sz="4" w:space="1" w:color="auto"/>
      </w:pBdr>
    </w:pPr>
    <w:rPr>
      <w:rFonts w:cs="Times New Roman"/>
      <w:b/>
      <w:sz w:val="34"/>
    </w:rPr>
  </w:style>
  <w:style w:type="paragraph" w:customStyle="1" w:styleId="legalScheduleDesc">
    <w:name w:val="legalScheduleDesc"/>
    <w:basedOn w:val="Normal"/>
    <w:next w:val="Normal"/>
    <w:qFormat/>
    <w:rsid w:val="00517177"/>
    <w:pPr>
      <w:keepNext/>
      <w:spacing w:before="240"/>
    </w:pPr>
    <w:rPr>
      <w:rFonts w:cs="Times New Roman"/>
      <w:b/>
      <w:sz w:val="22"/>
    </w:rPr>
  </w:style>
  <w:style w:type="paragraph" w:customStyle="1" w:styleId="legalTitleDescription">
    <w:name w:val="legalTitleDescription"/>
    <w:basedOn w:val="Normal"/>
    <w:next w:val="Normal"/>
    <w:qFormat/>
    <w:rsid w:val="00517177"/>
    <w:pPr>
      <w:spacing w:before="240"/>
    </w:pPr>
    <w:rPr>
      <w:rFonts w:cs="Times New Roman"/>
      <w:b/>
      <w:sz w:val="22"/>
    </w:rPr>
  </w:style>
  <w:style w:type="paragraph" w:customStyle="1" w:styleId="mainTitle">
    <w:name w:val="mainTitle"/>
    <w:basedOn w:val="Normal"/>
    <w:next w:val="Normal"/>
    <w:qFormat/>
    <w:rsid w:val="008C6E59"/>
    <w:pPr>
      <w:pBdr>
        <w:top w:val="single" w:sz="4" w:space="1" w:color="auto"/>
      </w:pBdr>
    </w:pPr>
    <w:rPr>
      <w:b/>
      <w:sz w:val="34"/>
    </w:rPr>
  </w:style>
  <w:style w:type="paragraph" w:customStyle="1" w:styleId="Numpara1">
    <w:name w:val="Numpara1"/>
    <w:basedOn w:val="Normal"/>
    <w:qFormat/>
    <w:rsid w:val="003610F8"/>
    <w:pPr>
      <w:numPr>
        <w:numId w:val="18"/>
      </w:numPr>
      <w:spacing w:before="240"/>
    </w:pPr>
    <w:rPr>
      <w:rFonts w:cs="Arial"/>
      <w:szCs w:val="22"/>
    </w:rPr>
  </w:style>
  <w:style w:type="paragraph" w:customStyle="1" w:styleId="Numpara2">
    <w:name w:val="Numpara2"/>
    <w:basedOn w:val="Normal"/>
    <w:qFormat/>
    <w:rsid w:val="003610F8"/>
    <w:pPr>
      <w:numPr>
        <w:ilvl w:val="1"/>
        <w:numId w:val="18"/>
      </w:numPr>
      <w:spacing w:before="240"/>
    </w:pPr>
    <w:rPr>
      <w:rFonts w:cs="Arial"/>
      <w:szCs w:val="22"/>
    </w:rPr>
  </w:style>
  <w:style w:type="paragraph" w:customStyle="1" w:styleId="Numpara3">
    <w:name w:val="Numpara3"/>
    <w:basedOn w:val="Normal"/>
    <w:qFormat/>
    <w:rsid w:val="003610F8"/>
    <w:pPr>
      <w:numPr>
        <w:ilvl w:val="2"/>
        <w:numId w:val="18"/>
      </w:numPr>
      <w:spacing w:before="240"/>
    </w:pPr>
    <w:rPr>
      <w:rFonts w:cs="Arial"/>
      <w:szCs w:val="22"/>
    </w:rPr>
  </w:style>
  <w:style w:type="paragraph" w:customStyle="1" w:styleId="Numpara4">
    <w:name w:val="Numpara4"/>
    <w:basedOn w:val="Normal"/>
    <w:qFormat/>
    <w:rsid w:val="003610F8"/>
    <w:pPr>
      <w:numPr>
        <w:ilvl w:val="3"/>
        <w:numId w:val="18"/>
      </w:numPr>
      <w:spacing w:before="240"/>
    </w:pPr>
    <w:rPr>
      <w:rFonts w:cs="Arial"/>
      <w:szCs w:val="22"/>
    </w:rPr>
  </w:style>
  <w:style w:type="paragraph" w:customStyle="1" w:styleId="pageNumber">
    <w:name w:val="pageNumber"/>
    <w:basedOn w:val="Normal"/>
    <w:qFormat/>
    <w:rsid w:val="003610F8"/>
    <w:pPr>
      <w:tabs>
        <w:tab w:val="right" w:pos="9072"/>
      </w:tabs>
    </w:pPr>
    <w:rPr>
      <w:sz w:val="14"/>
      <w:szCs w:val="14"/>
    </w:rPr>
  </w:style>
  <w:style w:type="paragraph" w:styleId="TOC1">
    <w:name w:val="toc 1"/>
    <w:next w:val="Normal"/>
    <w:autoRedefine/>
    <w:rsid w:val="008C6E59"/>
    <w:pPr>
      <w:tabs>
        <w:tab w:val="left" w:pos="851"/>
        <w:tab w:val="right" w:leader="dot" w:pos="9072"/>
      </w:tabs>
      <w:spacing w:before="120" w:after="120"/>
      <w:ind w:left="851" w:hanging="851"/>
    </w:pPr>
    <w:rPr>
      <w:rFonts w:cs="Times New Roman"/>
      <w:b/>
    </w:rPr>
  </w:style>
  <w:style w:type="paragraph" w:styleId="TOC2">
    <w:name w:val="toc 2"/>
    <w:next w:val="Normal"/>
    <w:autoRedefine/>
    <w:rsid w:val="003610F8"/>
    <w:pPr>
      <w:tabs>
        <w:tab w:val="right" w:leader="dot" w:pos="9072"/>
      </w:tabs>
      <w:ind w:left="1702" w:hanging="851"/>
    </w:pPr>
    <w:rPr>
      <w:rFonts w:cs="Times New Roman"/>
    </w:rPr>
  </w:style>
  <w:style w:type="table" w:customStyle="1" w:styleId="MadTabPlumGrid">
    <w:name w:val="MadTabPlumGrid"/>
    <w:basedOn w:val="TableNormal"/>
    <w:uiPriority w:val="99"/>
    <w:rsid w:val="00D5058D"/>
    <w:pPr>
      <w:spacing w:before="60" w:after="60"/>
    </w:pPr>
    <w:rPr>
      <w:rFonts w:cs="Times New Roman"/>
      <w:lang w:eastAsia="en-AU"/>
    </w:rPr>
    <w:tblPr>
      <w:tblBorders>
        <w:top w:val="single" w:sz="4" w:space="0" w:color="82002A"/>
        <w:bottom w:val="single" w:sz="4" w:space="0" w:color="82002A"/>
        <w:insideH w:val="single" w:sz="4" w:space="0" w:color="82002A"/>
        <w:insideV w:val="single" w:sz="4" w:space="0" w:color="82002A"/>
      </w:tblBorders>
    </w:tblPr>
    <w:tcPr>
      <w:vAlign w:val="center"/>
    </w:tcPr>
    <w:tblStylePr w:type="firstRow">
      <w:pPr>
        <w:wordWrap/>
        <w:spacing w:beforeLines="0" w:before="60" w:beforeAutospacing="0" w:afterLines="0" w:after="60" w:afterAutospacing="0"/>
        <w:jc w:val="left"/>
      </w:pPr>
      <w:rPr>
        <w:rFonts w:ascii="Arial" w:hAnsi="Arial"/>
        <w:b/>
        <w:i w:val="0"/>
        <w:color w:val="82002A"/>
        <w:sz w:val="20"/>
      </w:rPr>
      <w:tblPr/>
      <w:tcPr>
        <w:tcBorders>
          <w:top w:val="nil"/>
          <w:left w:val="nil"/>
          <w:bottom w:val="nil"/>
          <w:right w:val="nil"/>
          <w:insideH w:val="nil"/>
          <w:insideV w:val="nil"/>
          <w:tl2br w:val="nil"/>
          <w:tr2bl w:val="nil"/>
        </w:tcBorders>
      </w:tcPr>
    </w:tblStylePr>
  </w:style>
  <w:style w:type="table" w:customStyle="1" w:styleId="MadTabPlumShade">
    <w:name w:val="MadTabPlumShade"/>
    <w:basedOn w:val="TableNormal"/>
    <w:uiPriority w:val="99"/>
    <w:rsid w:val="00D5058D"/>
    <w:pPr>
      <w:spacing w:before="60" w:after="60"/>
    </w:pPr>
    <w:rPr>
      <w:rFonts w:cs="Times New Roman"/>
      <w:lang w:eastAsia="en-AU"/>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2F2F2"/>
      <w:vAlign w:val="center"/>
    </w:tcPr>
    <w:tblStylePr w:type="firstRow">
      <w:pPr>
        <w:wordWrap/>
        <w:spacing w:beforeLines="0" w:before="60" w:beforeAutospacing="0" w:afterLines="0" w:after="60" w:afterAutospacing="0"/>
        <w:jc w:val="left"/>
      </w:pPr>
      <w:rPr>
        <w:rFonts w:ascii="Arial" w:hAnsi="Arial"/>
        <w:b/>
        <w:color w:val="FFFFFF"/>
        <w:sz w:val="20"/>
      </w:rPr>
      <w:tblPr/>
      <w:tcPr>
        <w:shd w:val="clear" w:color="auto" w:fill="82002A"/>
      </w:tcPr>
    </w:tblStylePr>
    <w:tblStylePr w:type="firstCol">
      <w:pPr>
        <w:wordWrap/>
        <w:spacing w:beforeLines="0" w:before="60" w:beforeAutospacing="0" w:afterLines="60" w:after="60" w:afterAutospacing="0"/>
      </w:pPr>
      <w:rPr>
        <w:rFonts w:ascii="Arial" w:hAnsi="Arial"/>
        <w:b/>
        <w:color w:val="auto"/>
        <w:sz w:val="20"/>
      </w:rPr>
      <w:tblPr/>
      <w:tcPr>
        <w:shd w:val="clear" w:color="auto" w:fill="D9D9D9"/>
      </w:tcPr>
    </w:tblStylePr>
  </w:style>
  <w:style w:type="paragraph" w:styleId="Footer">
    <w:name w:val="footer"/>
    <w:basedOn w:val="Normal"/>
    <w:link w:val="FooterChar"/>
    <w:uiPriority w:val="99"/>
    <w:semiHidden/>
    <w:rsid w:val="009F2818"/>
    <w:pPr>
      <w:tabs>
        <w:tab w:val="center" w:pos="4513"/>
        <w:tab w:val="right" w:pos="9026"/>
      </w:tabs>
    </w:pPr>
  </w:style>
  <w:style w:type="character" w:customStyle="1" w:styleId="FooterChar">
    <w:name w:val="Footer Char"/>
    <w:basedOn w:val="DefaultParagraphFont"/>
    <w:link w:val="Footer"/>
    <w:uiPriority w:val="99"/>
    <w:semiHidden/>
    <w:rsid w:val="009F2818"/>
    <w:rPr>
      <w:rFonts w:ascii="Arial" w:hAnsi="Arial" w:cs="Times New Roman"/>
      <w:sz w:val="20"/>
      <w:szCs w:val="20"/>
      <w:lang w:eastAsia="en-AU"/>
    </w:rPr>
  </w:style>
  <w:style w:type="character" w:styleId="FootnoteReference">
    <w:name w:val="footnote reference"/>
    <w:basedOn w:val="DefaultParagraphFont"/>
    <w:uiPriority w:val="99"/>
    <w:semiHidden/>
    <w:rsid w:val="00651889"/>
    <w:rPr>
      <w:vertAlign w:val="superscript"/>
    </w:rPr>
  </w:style>
  <w:style w:type="paragraph" w:styleId="FootnoteText">
    <w:name w:val="footnote text"/>
    <w:basedOn w:val="Normal"/>
    <w:link w:val="FootnoteTextChar"/>
    <w:uiPriority w:val="99"/>
    <w:semiHidden/>
    <w:rsid w:val="00651889"/>
    <w:rPr>
      <w:sz w:val="18"/>
    </w:rPr>
  </w:style>
  <w:style w:type="character" w:customStyle="1" w:styleId="FootnoteTextChar">
    <w:name w:val="Footnote Text Char"/>
    <w:basedOn w:val="DefaultParagraphFont"/>
    <w:link w:val="FootnoteText"/>
    <w:uiPriority w:val="99"/>
    <w:semiHidden/>
    <w:rsid w:val="00651889"/>
    <w:rPr>
      <w:rFonts w:ascii="Arial" w:hAnsi="Arial" w:cs="Times New Roman"/>
      <w:sz w:val="18"/>
      <w:szCs w:val="20"/>
      <w:lang w:eastAsia="en-AU"/>
    </w:rPr>
  </w:style>
  <w:style w:type="paragraph" w:customStyle="1" w:styleId="legalAttachment">
    <w:name w:val="legalAttachment"/>
    <w:basedOn w:val="Normal"/>
    <w:next w:val="Normal"/>
    <w:qFormat/>
    <w:rsid w:val="001A138C"/>
    <w:pPr>
      <w:pageBreakBefore/>
      <w:numPr>
        <w:numId w:val="20"/>
      </w:numPr>
      <w:pBdr>
        <w:top w:val="single" w:sz="4" w:space="1" w:color="auto"/>
      </w:pBdr>
    </w:pPr>
    <w:rPr>
      <w:rFonts w:cs="Times New Roman"/>
      <w:b/>
      <w:sz w:val="34"/>
    </w:rPr>
  </w:style>
  <w:style w:type="paragraph" w:customStyle="1" w:styleId="legalPart">
    <w:name w:val="legalPart"/>
    <w:basedOn w:val="Normal"/>
    <w:next w:val="Normal"/>
    <w:qFormat/>
    <w:rsid w:val="00380B75"/>
    <w:pPr>
      <w:keepNext/>
      <w:numPr>
        <w:numId w:val="25"/>
      </w:numPr>
      <w:pBdr>
        <w:top w:val="single" w:sz="4" w:space="6" w:color="82002A"/>
      </w:pBdr>
      <w:spacing w:before="480" w:after="480"/>
    </w:pPr>
    <w:rPr>
      <w:rFonts w:cs="Times New Roman"/>
      <w:b/>
      <w:color w:val="82002A"/>
      <w:sz w:val="22"/>
    </w:rPr>
  </w:style>
  <w:style w:type="paragraph" w:styleId="TOC3">
    <w:name w:val="toc 3"/>
    <w:next w:val="Normal"/>
    <w:autoRedefine/>
    <w:uiPriority w:val="39"/>
    <w:unhideWhenUsed/>
    <w:rsid w:val="00D5058D"/>
    <w:pPr>
      <w:tabs>
        <w:tab w:val="left" w:pos="851"/>
        <w:tab w:val="right" w:leader="dot" w:pos="9060"/>
      </w:tabs>
      <w:spacing w:before="240"/>
    </w:pPr>
    <w:rPr>
      <w:rFonts w:cs="Times New Roman"/>
      <w:b/>
      <w:color w:val="82002A"/>
      <w:sz w:val="22"/>
    </w:rPr>
  </w:style>
  <w:style w:type="table" w:styleId="TableGrid">
    <w:name w:val="Table Grid"/>
    <w:basedOn w:val="TableNormal"/>
    <w:uiPriority w:val="59"/>
    <w:rsid w:val="002A7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229"/>
    <w:pPr>
      <w:tabs>
        <w:tab w:val="center" w:pos="4513"/>
        <w:tab w:val="right" w:pos="9026"/>
      </w:tabs>
    </w:pPr>
  </w:style>
  <w:style w:type="character" w:customStyle="1" w:styleId="HeaderChar">
    <w:name w:val="Header Char"/>
    <w:basedOn w:val="DefaultParagraphFont"/>
    <w:link w:val="Header"/>
    <w:uiPriority w:val="99"/>
    <w:rsid w:val="00E00229"/>
  </w:style>
  <w:style w:type="paragraph" w:styleId="BalloonText">
    <w:name w:val="Balloon Text"/>
    <w:basedOn w:val="Normal"/>
    <w:link w:val="BalloonTextChar"/>
    <w:uiPriority w:val="99"/>
    <w:semiHidden/>
    <w:unhideWhenUsed/>
    <w:rsid w:val="00E307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07A9"/>
    <w:rPr>
      <w:rFonts w:ascii="Segoe UI" w:hAnsi="Segoe UI" w:cs="Segoe UI"/>
      <w:sz w:val="18"/>
      <w:szCs w:val="18"/>
    </w:rPr>
  </w:style>
  <w:style w:type="character" w:styleId="CommentReference">
    <w:name w:val="annotation reference"/>
    <w:basedOn w:val="DefaultParagraphFont"/>
    <w:uiPriority w:val="99"/>
    <w:semiHidden/>
    <w:unhideWhenUsed/>
    <w:rsid w:val="00C86A5A"/>
    <w:rPr>
      <w:sz w:val="16"/>
      <w:szCs w:val="16"/>
    </w:rPr>
  </w:style>
  <w:style w:type="paragraph" w:styleId="CommentText">
    <w:name w:val="annotation text"/>
    <w:basedOn w:val="Normal"/>
    <w:link w:val="CommentTextChar"/>
    <w:uiPriority w:val="99"/>
    <w:semiHidden/>
    <w:unhideWhenUsed/>
    <w:rsid w:val="00C86A5A"/>
  </w:style>
  <w:style w:type="character" w:customStyle="1" w:styleId="CommentTextChar">
    <w:name w:val="Comment Text Char"/>
    <w:basedOn w:val="DefaultParagraphFont"/>
    <w:link w:val="CommentText"/>
    <w:uiPriority w:val="99"/>
    <w:semiHidden/>
    <w:rsid w:val="00C86A5A"/>
  </w:style>
  <w:style w:type="paragraph" w:styleId="CommentSubject">
    <w:name w:val="annotation subject"/>
    <w:basedOn w:val="CommentText"/>
    <w:next w:val="CommentText"/>
    <w:link w:val="CommentSubjectChar"/>
    <w:uiPriority w:val="99"/>
    <w:semiHidden/>
    <w:unhideWhenUsed/>
    <w:rsid w:val="00C86A5A"/>
    <w:rPr>
      <w:b/>
      <w:bCs/>
    </w:rPr>
  </w:style>
  <w:style w:type="character" w:customStyle="1" w:styleId="CommentSubjectChar">
    <w:name w:val="Comment Subject Char"/>
    <w:basedOn w:val="CommentTextChar"/>
    <w:link w:val="CommentSubject"/>
    <w:uiPriority w:val="99"/>
    <w:semiHidden/>
    <w:rsid w:val="00C86A5A"/>
    <w:rPr>
      <w:b/>
      <w:bCs/>
    </w:rPr>
  </w:style>
  <w:style w:type="paragraph" w:styleId="ListParagraph">
    <w:name w:val="List Paragraph"/>
    <w:basedOn w:val="Normal"/>
    <w:uiPriority w:val="34"/>
    <w:qFormat/>
    <w:rsid w:val="00934FF3"/>
    <w:pPr>
      <w:ind w:left="720"/>
    </w:pPr>
    <w:rPr>
      <w:rFonts w:eastAsiaTheme="min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12755">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7301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Maddocks plum">
      <a:dk1>
        <a:srgbClr val="333333"/>
      </a:dk1>
      <a:lt1>
        <a:srgbClr val="FFFFFF"/>
      </a:lt1>
      <a:dk2>
        <a:srgbClr val="333333"/>
      </a:dk2>
      <a:lt2>
        <a:srgbClr val="F2F2F2"/>
      </a:lt2>
      <a:accent1>
        <a:srgbClr val="82002A"/>
      </a:accent1>
      <a:accent2>
        <a:srgbClr val="960030"/>
      </a:accent2>
      <a:accent3>
        <a:srgbClr val="A00035"/>
      </a:accent3>
      <a:accent4>
        <a:srgbClr val="333333"/>
      </a:accent4>
      <a:accent5>
        <a:srgbClr val="504242"/>
      </a:accent5>
      <a:accent6>
        <a:srgbClr val="5E5656"/>
      </a:accent6>
      <a:hlink>
        <a:srgbClr val="CD5C3D"/>
      </a:hlink>
      <a:folHlink>
        <a:srgbClr val="C40040"/>
      </a:folHlink>
    </a:clrScheme>
    <a:fontScheme name="Maddfon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28575">
          <a:solidFill>
            <a:srgbClr val="333333"/>
          </a:solidFill>
          <a:tailEnd type="triangle" w="lg" len="med"/>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A718A-A185-4E92-9D23-71FD8286A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819ACA7F.dotm</Template>
  <TotalTime>0</TotalTime>
  <Pages>4</Pages>
  <Words>1952</Words>
  <Characters>11132</Characters>
  <Application>Microsoft Office Word</Application>
  <DocSecurity>0</DocSecurity>
  <Lines>92</Lines>
  <Paragraphs>26</Paragraphs>
  <ScaleCrop>false</ScaleCrop>
  <Company/>
  <LinksUpToDate>false</LinksUpToDate>
  <CharactersWithSpaces>13058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2019-08-12T00:15:00Z</dcterms:created>
  <dcterms:modified xsi:type="dcterms:W3CDTF">2019-08-12T00:15:00Z</dcterms:modified>
</cp:coreProperties>
</file>